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7DCF" w:rsidR="001E362E" w:rsidRDefault="00306311" w14:paraId="3BDB89DD" w14:textId="77777777">
      <w:pPr>
        <w:rPr>
          <w:rFonts w:cstheme="minorHAnsi"/>
          <w:sz w:val="32"/>
          <w:szCs w:val="32"/>
          <w:u w:val="single"/>
        </w:rPr>
      </w:pPr>
      <w:r w:rsidRPr="00437DCF">
        <w:rPr>
          <w:rFonts w:cstheme="minorHAnsi"/>
          <w:sz w:val="32"/>
          <w:szCs w:val="32"/>
          <w:u w:val="single"/>
        </w:rPr>
        <w:t>Accreditation</w:t>
      </w:r>
    </w:p>
    <w:p w:rsidRPr="00437DCF" w:rsidR="00306311" w:rsidRDefault="00306311" w14:paraId="7044A645" w14:textId="77777777">
      <w:pPr>
        <w:rPr>
          <w:rFonts w:cstheme="minorHAnsi"/>
          <w:sz w:val="23"/>
          <w:szCs w:val="23"/>
        </w:rPr>
      </w:pPr>
      <w:r w:rsidRPr="00437DCF">
        <w:rPr>
          <w:rFonts w:cstheme="minorHAnsi"/>
          <w:sz w:val="23"/>
          <w:szCs w:val="23"/>
        </w:rPr>
        <w:t xml:space="preserve">The University of Georgia is accredited by the Commission on Colleges of the Southern Association of Colleges and Schools (SACSCOC) </w:t>
      </w:r>
      <w:hyperlink w:history="1" r:id="rId8">
        <w:r w:rsidRPr="00437DCF">
          <w:rPr>
            <w:rStyle w:val="Hyperlink"/>
            <w:rFonts w:cstheme="minorHAnsi"/>
            <w:sz w:val="23"/>
            <w:szCs w:val="23"/>
          </w:rPr>
          <w:t>www.sacscoc.org</w:t>
        </w:r>
      </w:hyperlink>
      <w:r w:rsidRPr="00437DCF">
        <w:rPr>
          <w:rFonts w:cstheme="minorHAnsi"/>
          <w:sz w:val="23"/>
          <w:szCs w:val="23"/>
        </w:rPr>
        <w:t xml:space="preserve">  to award baccalaureate, masters, specialist and doctorate degrees. Contact the Commission on Colleges at 1866 Southern Lane, Decatur, Georgia 30033-4097 or call (404) 679-4500 for questions about the accreditation of the University of Georgia.</w:t>
      </w:r>
    </w:p>
    <w:p w:rsidRPr="00437DCF" w:rsidR="00306311" w:rsidRDefault="00306311" w14:paraId="14AB8DBF" w14:textId="77777777">
      <w:pPr>
        <w:rPr>
          <w:rFonts w:cstheme="minorHAnsi"/>
          <w:sz w:val="24"/>
          <w:szCs w:val="24"/>
        </w:rPr>
      </w:pPr>
      <w:r w:rsidRPr="00437DCF">
        <w:rPr>
          <w:rFonts w:cstheme="minorHAnsi"/>
          <w:sz w:val="24"/>
          <w:szCs w:val="24"/>
        </w:rPr>
        <w:t>The professional PhamD program</w:t>
      </w:r>
      <w:r w:rsidRPr="00437DCF" w:rsidR="007D3A24">
        <w:rPr>
          <w:rFonts w:cstheme="minorHAnsi"/>
          <w:sz w:val="24"/>
          <w:szCs w:val="24"/>
        </w:rPr>
        <w:t xml:space="preserve"> and the Continuing Pharmacy Education (CPE) programs </w:t>
      </w:r>
      <w:r w:rsidRPr="00437DCF">
        <w:rPr>
          <w:rFonts w:cstheme="minorHAnsi"/>
          <w:sz w:val="24"/>
          <w:szCs w:val="24"/>
        </w:rPr>
        <w:t xml:space="preserve"> in the University of Georgia’s College </w:t>
      </w:r>
      <w:r w:rsidRPr="00437DCF" w:rsidR="00783CB8">
        <w:rPr>
          <w:rFonts w:cstheme="minorHAnsi"/>
          <w:sz w:val="24"/>
          <w:szCs w:val="24"/>
        </w:rPr>
        <w:t>of Pharmacy are</w:t>
      </w:r>
      <w:r w:rsidRPr="00437DCF">
        <w:rPr>
          <w:rFonts w:cstheme="minorHAnsi"/>
          <w:sz w:val="24"/>
          <w:szCs w:val="24"/>
        </w:rPr>
        <w:t xml:space="preserve"> accredited by the Accreditation Council for Pharmacy Education (ACPE) </w:t>
      </w:r>
      <w:hyperlink w:history="1" r:id="rId9">
        <w:r w:rsidRPr="00437DCF">
          <w:rPr>
            <w:rStyle w:val="Hyperlink"/>
            <w:rFonts w:cstheme="minorHAnsi"/>
            <w:sz w:val="24"/>
            <w:szCs w:val="24"/>
          </w:rPr>
          <w:t>www.acpe-accredit.org</w:t>
        </w:r>
      </w:hyperlink>
      <w:r w:rsidRPr="00437DCF" w:rsidR="007D3A24">
        <w:rPr>
          <w:rFonts w:cstheme="minorHAnsi"/>
          <w:sz w:val="24"/>
          <w:szCs w:val="24"/>
        </w:rPr>
        <w:t xml:space="preserve">.  </w:t>
      </w:r>
      <w:r w:rsidRPr="00437DCF">
        <w:rPr>
          <w:rFonts w:cstheme="minorHAnsi"/>
          <w:sz w:val="24"/>
          <w:szCs w:val="24"/>
        </w:rPr>
        <w:t>The Council can be contacted at 135 S. LaSalle Street, Suite 4100, Chicago, Illinois 60603-4810 or by calling (312) 664-3575.</w:t>
      </w:r>
    </w:p>
    <w:p w:rsidRPr="00437DCF" w:rsidR="00306311" w:rsidRDefault="00306311" w14:paraId="1469826D" w14:textId="77777777">
      <w:pPr>
        <w:rPr>
          <w:rFonts w:cstheme="minorHAnsi"/>
          <w:sz w:val="24"/>
          <w:szCs w:val="24"/>
        </w:rPr>
      </w:pPr>
      <w:r w:rsidRPr="00437DCF">
        <w:rPr>
          <w:rFonts w:cstheme="minorHAnsi"/>
          <w:sz w:val="24"/>
          <w:szCs w:val="24"/>
        </w:rPr>
        <w:t xml:space="preserve">The Residency Programs in the University of Georgia’s College of Pharmacy are accredited by the American Society of Health-System Pharmacists (ASHP) </w:t>
      </w:r>
      <w:hyperlink w:history="1" r:id="rId10">
        <w:r w:rsidRPr="00437DCF">
          <w:rPr>
            <w:rStyle w:val="Hyperlink"/>
            <w:rFonts w:cstheme="minorHAnsi"/>
            <w:sz w:val="24"/>
            <w:szCs w:val="24"/>
          </w:rPr>
          <w:t>www.ashp.org</w:t>
        </w:r>
      </w:hyperlink>
      <w:r w:rsidRPr="00437DCF" w:rsidR="007D3A24">
        <w:rPr>
          <w:rFonts w:cstheme="minorHAnsi"/>
          <w:sz w:val="24"/>
          <w:szCs w:val="24"/>
        </w:rPr>
        <w:t xml:space="preserve">.  The association can be contacted at 7272 Wisconsin Avenue, Bethesda, MD 20814 or by phone at (301) 664-8656.  </w:t>
      </w:r>
    </w:p>
    <w:p w:rsidRPr="00437DCF" w:rsidR="00FD637B" w:rsidRDefault="00FD637B" w14:paraId="2EBD3F41" w14:textId="77777777">
      <w:pPr>
        <w:rPr>
          <w:rFonts w:cstheme="minorHAnsi"/>
          <w:sz w:val="32"/>
          <w:szCs w:val="32"/>
          <w:u w:val="single"/>
        </w:rPr>
      </w:pPr>
      <w:r w:rsidRPr="00437DCF">
        <w:rPr>
          <w:rFonts w:cstheme="minorHAnsi"/>
          <w:sz w:val="32"/>
          <w:szCs w:val="32"/>
          <w:u w:val="single"/>
        </w:rPr>
        <w:br w:type="page"/>
      </w:r>
    </w:p>
    <w:p w:rsidRPr="00437DCF" w:rsidR="007D3A24" w:rsidRDefault="007D3A24" w14:paraId="2D30682C" w14:textId="77777777">
      <w:pPr>
        <w:rPr>
          <w:rFonts w:cstheme="minorHAnsi"/>
          <w:sz w:val="32"/>
          <w:szCs w:val="32"/>
          <w:u w:val="single"/>
        </w:rPr>
      </w:pPr>
      <w:r w:rsidRPr="00437DCF">
        <w:rPr>
          <w:rFonts w:cstheme="minorHAnsi"/>
          <w:sz w:val="32"/>
          <w:szCs w:val="32"/>
          <w:u w:val="single"/>
        </w:rPr>
        <w:lastRenderedPageBreak/>
        <w:t>Graduation Rates</w:t>
      </w:r>
      <w:r w:rsidRPr="00437DCF" w:rsidR="00CE4A75">
        <w:rPr>
          <w:rFonts w:cstheme="minorHAnsi"/>
          <w:sz w:val="32"/>
          <w:szCs w:val="32"/>
          <w:u w:val="single"/>
        </w:rPr>
        <w:t xml:space="preserve"> f</w:t>
      </w:r>
      <w:r w:rsidRPr="00437DCF">
        <w:rPr>
          <w:rFonts w:cstheme="minorHAnsi"/>
          <w:sz w:val="32"/>
          <w:szCs w:val="32"/>
          <w:u w:val="single"/>
        </w:rPr>
        <w:t>or the PharmD</w:t>
      </w:r>
    </w:p>
    <w:p w:rsidRPr="00437DCF" w:rsidR="007D3A24" w:rsidRDefault="007D3A24" w14:paraId="3519255E" w14:textId="77777777">
      <w:pPr>
        <w:rPr>
          <w:rFonts w:cstheme="minorHAnsi"/>
          <w:sz w:val="24"/>
          <w:szCs w:val="24"/>
        </w:rPr>
      </w:pPr>
      <w:r w:rsidRPr="00437DCF">
        <w:rPr>
          <w:rFonts w:cstheme="minorHAnsi"/>
          <w:sz w:val="24"/>
          <w:szCs w:val="24"/>
        </w:rPr>
        <w:t xml:space="preserve">The UGA College of Pharmacy </w:t>
      </w:r>
      <w:r w:rsidRPr="00437DCF" w:rsidR="00783CB8">
        <w:rPr>
          <w:rFonts w:cstheme="minorHAnsi"/>
          <w:sz w:val="24"/>
          <w:szCs w:val="24"/>
        </w:rPr>
        <w:t>monitors</w:t>
      </w:r>
      <w:r w:rsidRPr="00437DCF">
        <w:rPr>
          <w:rFonts w:cstheme="minorHAnsi"/>
          <w:sz w:val="24"/>
          <w:szCs w:val="24"/>
        </w:rPr>
        <w:t xml:space="preserve"> the attrition of students and the rate at which our students complete their program on-time (within 9 semesters).  </w:t>
      </w:r>
      <w:r w:rsidRPr="00437DCF" w:rsidR="0044130E">
        <w:rPr>
          <w:rFonts w:cstheme="minorHAnsi"/>
          <w:sz w:val="24"/>
          <w:szCs w:val="24"/>
        </w:rPr>
        <w:t xml:space="preserve">A variety of personal and academic issues </w:t>
      </w:r>
      <w:r w:rsidRPr="00437DCF" w:rsidR="00431F42">
        <w:rPr>
          <w:rFonts w:cstheme="minorHAnsi"/>
          <w:sz w:val="24"/>
          <w:szCs w:val="24"/>
        </w:rPr>
        <w:t>impact on-time graduation rates</w:t>
      </w:r>
      <w:r w:rsidRPr="00437DCF" w:rsidR="00CE4A75">
        <w:rPr>
          <w:rFonts w:cstheme="minorHAnsi"/>
          <w:sz w:val="24"/>
          <w:szCs w:val="24"/>
        </w:rPr>
        <w:t xml:space="preserve"> and overall graduation rates</w:t>
      </w:r>
      <w:r w:rsidRPr="00437DCF" w:rsidR="00431F42">
        <w:rPr>
          <w:rFonts w:cstheme="minorHAnsi"/>
          <w:sz w:val="24"/>
          <w:szCs w:val="24"/>
        </w:rPr>
        <w:t>.</w:t>
      </w:r>
      <w:r w:rsidRPr="00437DCF" w:rsidR="0044130E">
        <w:rPr>
          <w:rFonts w:cstheme="minorHAnsi"/>
          <w:sz w:val="24"/>
          <w:szCs w:val="24"/>
        </w:rPr>
        <w:t xml:space="preserve">  The College of Pharmacy </w:t>
      </w:r>
      <w:r w:rsidRPr="00437DCF" w:rsidR="00783CB8">
        <w:rPr>
          <w:rFonts w:cstheme="minorHAnsi"/>
          <w:sz w:val="24"/>
          <w:szCs w:val="24"/>
        </w:rPr>
        <w:t>evaluates</w:t>
      </w:r>
      <w:r w:rsidRPr="00437DCF" w:rsidR="0044130E">
        <w:rPr>
          <w:rFonts w:cstheme="minorHAnsi"/>
          <w:sz w:val="24"/>
          <w:szCs w:val="24"/>
        </w:rPr>
        <w:t xml:space="preserve"> these situations to assist students with their academic and professional goals if possible.  </w:t>
      </w:r>
      <w:r w:rsidRPr="00437DCF" w:rsidR="00431F42">
        <w:rPr>
          <w:rFonts w:cstheme="minorHAnsi"/>
          <w:sz w:val="24"/>
          <w:szCs w:val="24"/>
        </w:rPr>
        <w:t xml:space="preserve">The </w:t>
      </w:r>
      <w:r w:rsidRPr="00437DCF" w:rsidR="00EB670B">
        <w:rPr>
          <w:rFonts w:cstheme="minorHAnsi"/>
          <w:sz w:val="24"/>
          <w:szCs w:val="24"/>
        </w:rPr>
        <w:t>following table shows our</w:t>
      </w:r>
      <w:r w:rsidRPr="00437DCF" w:rsidR="00431F42">
        <w:rPr>
          <w:rFonts w:cstheme="minorHAnsi"/>
          <w:sz w:val="24"/>
          <w:szCs w:val="24"/>
        </w:rPr>
        <w:t xml:space="preserve"> most </w:t>
      </w:r>
      <w:r w:rsidRPr="00437DCF" w:rsidR="00CE4A75">
        <w:rPr>
          <w:rFonts w:cstheme="minorHAnsi"/>
          <w:sz w:val="24"/>
          <w:szCs w:val="24"/>
        </w:rPr>
        <w:t xml:space="preserve">recent graduation </w:t>
      </w:r>
      <w:r w:rsidRPr="00437DCF" w:rsidR="00431F42">
        <w:rPr>
          <w:rFonts w:cstheme="minorHAnsi"/>
          <w:sz w:val="24"/>
          <w:szCs w:val="24"/>
        </w:rPr>
        <w:t>rates.</w:t>
      </w:r>
    </w:p>
    <w:tbl>
      <w:tblPr>
        <w:tblStyle w:val="TableGridLight"/>
        <w:tblW w:w="9918" w:type="dxa"/>
        <w:tblLayout w:type="fixed"/>
        <w:tblLook w:val="04A0" w:firstRow="1" w:lastRow="0" w:firstColumn="1" w:lastColumn="0" w:noHBand="0" w:noVBand="1"/>
      </w:tblPr>
      <w:tblGrid>
        <w:gridCol w:w="1368"/>
        <w:gridCol w:w="1080"/>
        <w:gridCol w:w="1080"/>
        <w:gridCol w:w="1260"/>
        <w:gridCol w:w="1170"/>
        <w:gridCol w:w="1260"/>
        <w:gridCol w:w="1440"/>
        <w:gridCol w:w="1260"/>
      </w:tblGrid>
      <w:tr w:rsidRPr="003A0A3E" w:rsidR="00100FD0" w:rsidTr="04E6A958" w14:paraId="30FD1B1F" w14:textId="77777777">
        <w:trPr>
          <w:trHeight w:val="600"/>
        </w:trPr>
        <w:tc>
          <w:tcPr>
            <w:tcW w:w="1368" w:type="dxa"/>
            <w:tcMar/>
          </w:tcPr>
          <w:p w:rsidRPr="00437DCF" w:rsidR="00100FD0" w:rsidP="003A0A3E" w:rsidRDefault="00100FD0" w14:paraId="20BB68A2" w14:textId="77777777">
            <w:pPr>
              <w:jc w:val="right"/>
              <w:rPr>
                <w:rFonts w:eastAsia="Times New Roman" w:cstheme="minorHAnsi"/>
                <w:color w:val="000000"/>
              </w:rPr>
            </w:pPr>
            <w:r w:rsidRPr="00437DCF">
              <w:rPr>
                <w:rFonts w:eastAsia="Times New Roman" w:cstheme="minorHAnsi"/>
                <w:color w:val="000000"/>
              </w:rPr>
              <w:t xml:space="preserve">Graduating Class </w:t>
            </w:r>
          </w:p>
        </w:tc>
        <w:tc>
          <w:tcPr>
            <w:tcW w:w="1080" w:type="dxa"/>
            <w:tcMar/>
          </w:tcPr>
          <w:p w:rsidRPr="00437DCF" w:rsidR="00100FD0" w:rsidP="003A0A3E" w:rsidRDefault="00100FD0" w14:paraId="50A9CE64" w14:textId="77777777">
            <w:pPr>
              <w:jc w:val="right"/>
              <w:rPr>
                <w:rFonts w:eastAsia="Times New Roman" w:cstheme="minorHAnsi"/>
                <w:color w:val="000000"/>
              </w:rPr>
            </w:pPr>
            <w:r w:rsidRPr="00437DCF">
              <w:rPr>
                <w:rFonts w:eastAsia="Times New Roman" w:cstheme="minorHAnsi"/>
                <w:color w:val="000000"/>
              </w:rPr>
              <w:t># of Students Entering the Program</w:t>
            </w:r>
          </w:p>
        </w:tc>
        <w:tc>
          <w:tcPr>
            <w:tcW w:w="1080" w:type="dxa"/>
            <w:tcMar/>
          </w:tcPr>
          <w:p w:rsidRPr="00437DCF" w:rsidR="00100FD0" w:rsidP="003A0A3E" w:rsidRDefault="00100FD0" w14:paraId="1D5FAD5E" w14:textId="6611C934">
            <w:pPr>
              <w:jc w:val="right"/>
              <w:rPr>
                <w:rFonts w:eastAsia="Times New Roman" w:cstheme="minorHAnsi"/>
                <w:color w:val="000000"/>
              </w:rPr>
            </w:pPr>
            <w:r>
              <w:rPr>
                <w:rFonts w:eastAsia="Times New Roman" w:cstheme="minorHAnsi"/>
                <w:color w:val="000000"/>
              </w:rPr>
              <w:t>2022</w:t>
            </w:r>
            <w:r w:rsidRPr="00437DCF">
              <w:rPr>
                <w:rFonts w:eastAsia="Times New Roman" w:cstheme="minorHAnsi"/>
                <w:color w:val="000000"/>
              </w:rPr>
              <w:t># of Students Who Left Program</w:t>
            </w:r>
          </w:p>
        </w:tc>
        <w:tc>
          <w:tcPr>
            <w:tcW w:w="1260" w:type="dxa"/>
            <w:tcMar/>
          </w:tcPr>
          <w:p w:rsidRPr="00437DCF" w:rsidR="00100FD0" w:rsidP="003A0A3E" w:rsidRDefault="00100FD0" w14:paraId="7A8ABD38" w14:textId="77777777">
            <w:pPr>
              <w:jc w:val="right"/>
              <w:rPr>
                <w:rFonts w:eastAsia="Times New Roman" w:cstheme="minorHAnsi"/>
                <w:color w:val="000000"/>
              </w:rPr>
            </w:pPr>
            <w:r w:rsidRPr="00437DCF">
              <w:rPr>
                <w:rFonts w:eastAsia="Times New Roman" w:cstheme="minorHAnsi"/>
                <w:color w:val="000000"/>
              </w:rPr>
              <w:t>% of Students Who Left Program</w:t>
            </w:r>
          </w:p>
        </w:tc>
        <w:tc>
          <w:tcPr>
            <w:tcW w:w="1170" w:type="dxa"/>
            <w:tcMar/>
          </w:tcPr>
          <w:p w:rsidRPr="00437DCF" w:rsidR="00100FD0" w:rsidP="003A0A3E" w:rsidRDefault="00100FD0" w14:paraId="378A17E3" w14:textId="77777777">
            <w:pPr>
              <w:jc w:val="right"/>
              <w:rPr>
                <w:rFonts w:eastAsia="Times New Roman" w:cstheme="minorHAnsi"/>
                <w:color w:val="000000"/>
              </w:rPr>
            </w:pPr>
            <w:r w:rsidRPr="00437DCF">
              <w:rPr>
                <w:rFonts w:eastAsia="Times New Roman" w:cstheme="minorHAnsi"/>
                <w:color w:val="000000"/>
              </w:rPr>
              <w:t># of Students Dismissed</w:t>
            </w:r>
          </w:p>
        </w:tc>
        <w:tc>
          <w:tcPr>
            <w:tcW w:w="1260" w:type="dxa"/>
            <w:tcMar/>
          </w:tcPr>
          <w:p w:rsidRPr="00437DCF" w:rsidR="00100FD0" w:rsidP="003A0A3E" w:rsidRDefault="00100FD0" w14:paraId="47C333C2" w14:textId="77777777">
            <w:pPr>
              <w:jc w:val="right"/>
              <w:rPr>
                <w:rFonts w:eastAsia="Times New Roman" w:cstheme="minorHAnsi"/>
                <w:color w:val="000000"/>
              </w:rPr>
            </w:pPr>
            <w:r w:rsidRPr="00437DCF">
              <w:rPr>
                <w:rFonts w:eastAsia="Times New Roman" w:cstheme="minorHAnsi"/>
                <w:color w:val="000000"/>
              </w:rPr>
              <w:t># of Students Not Graduating on Time (4 years)</w:t>
            </w:r>
          </w:p>
        </w:tc>
        <w:tc>
          <w:tcPr>
            <w:tcW w:w="1440" w:type="dxa"/>
            <w:tcMar/>
          </w:tcPr>
          <w:p w:rsidRPr="00437DCF" w:rsidR="00100FD0" w:rsidP="003A0A3E" w:rsidRDefault="00100FD0" w14:paraId="26A58094" w14:textId="77777777">
            <w:pPr>
              <w:jc w:val="right"/>
              <w:rPr>
                <w:rFonts w:eastAsia="Times New Roman" w:cstheme="minorHAnsi"/>
                <w:color w:val="000000"/>
              </w:rPr>
            </w:pPr>
            <w:r w:rsidRPr="00437DCF">
              <w:rPr>
                <w:rFonts w:eastAsia="Times New Roman" w:cstheme="minorHAnsi"/>
                <w:color w:val="000000"/>
              </w:rPr>
              <w:t>% of Students Not Graduating on Time (4 Years)</w:t>
            </w:r>
          </w:p>
        </w:tc>
        <w:tc>
          <w:tcPr>
            <w:tcW w:w="1260" w:type="dxa"/>
            <w:tcMar/>
          </w:tcPr>
          <w:p w:rsidRPr="00437DCF" w:rsidR="00100FD0" w:rsidP="003A0A3E" w:rsidRDefault="00100FD0" w14:paraId="36428535" w14:textId="77777777">
            <w:pPr>
              <w:rPr>
                <w:rFonts w:eastAsia="Times New Roman" w:cstheme="minorHAnsi"/>
                <w:color w:val="000000"/>
              </w:rPr>
            </w:pPr>
            <w:r w:rsidRPr="00437DCF">
              <w:rPr>
                <w:rFonts w:eastAsia="Times New Roman" w:cstheme="minorHAnsi"/>
                <w:color w:val="000000"/>
              </w:rPr>
              <w:t>Reason for Not Graduating on Time</w:t>
            </w:r>
          </w:p>
        </w:tc>
      </w:tr>
      <w:tr w:rsidRPr="003A0A3E" w:rsidR="002957A5" w:rsidTr="04E6A958" w14:paraId="7E40E487" w14:textId="77777777">
        <w:trPr>
          <w:trHeight w:val="600"/>
        </w:trPr>
        <w:tc>
          <w:tcPr>
            <w:tcW w:w="1368" w:type="dxa"/>
            <w:noWrap/>
            <w:tcMar/>
            <w:hideMark/>
          </w:tcPr>
          <w:p w:rsidRPr="00437DCF" w:rsidR="002957A5" w:rsidP="003A0A3E" w:rsidRDefault="002957A5" w14:paraId="79063812" w14:textId="3E1C916B">
            <w:pPr>
              <w:jc w:val="right"/>
              <w:rPr>
                <w:rFonts w:eastAsia="Times New Roman" w:cstheme="minorHAnsi"/>
                <w:color w:val="000000"/>
              </w:rPr>
            </w:pPr>
            <w:r w:rsidRPr="00437DCF">
              <w:rPr>
                <w:rFonts w:eastAsia="Times New Roman" w:cstheme="minorHAnsi"/>
                <w:color w:val="000000"/>
              </w:rPr>
              <w:t>2020</w:t>
            </w:r>
          </w:p>
        </w:tc>
        <w:tc>
          <w:tcPr>
            <w:tcW w:w="1080" w:type="dxa"/>
            <w:noWrap/>
            <w:tcMar/>
            <w:hideMark/>
          </w:tcPr>
          <w:p w:rsidRPr="00437DCF" w:rsidR="002957A5" w:rsidP="003A0A3E" w:rsidRDefault="002957A5" w14:paraId="7EA1F323" w14:textId="48C9C97F">
            <w:pPr>
              <w:jc w:val="right"/>
              <w:rPr>
                <w:rFonts w:eastAsia="Times New Roman" w:cstheme="minorHAnsi"/>
                <w:color w:val="000000"/>
              </w:rPr>
            </w:pPr>
            <w:r w:rsidRPr="00437DCF">
              <w:rPr>
                <w:rFonts w:eastAsia="Times New Roman" w:cstheme="minorHAnsi"/>
                <w:color w:val="000000"/>
              </w:rPr>
              <w:t>142</w:t>
            </w:r>
          </w:p>
        </w:tc>
        <w:tc>
          <w:tcPr>
            <w:tcW w:w="1080" w:type="dxa"/>
            <w:noWrap/>
            <w:tcMar/>
            <w:hideMark/>
          </w:tcPr>
          <w:p w:rsidRPr="00437DCF" w:rsidR="002957A5" w:rsidP="003A0A3E" w:rsidRDefault="002957A5" w14:paraId="25F9756F" w14:textId="47825C2F">
            <w:pPr>
              <w:jc w:val="right"/>
              <w:rPr>
                <w:rFonts w:eastAsia="Times New Roman" w:cstheme="minorHAnsi"/>
                <w:color w:val="000000"/>
              </w:rPr>
            </w:pPr>
            <w:r w:rsidRPr="00437DCF">
              <w:rPr>
                <w:rFonts w:eastAsia="Times New Roman" w:cstheme="minorHAnsi"/>
                <w:color w:val="000000"/>
              </w:rPr>
              <w:t>3</w:t>
            </w:r>
          </w:p>
        </w:tc>
        <w:tc>
          <w:tcPr>
            <w:tcW w:w="1260" w:type="dxa"/>
            <w:noWrap/>
            <w:tcMar/>
            <w:hideMark/>
          </w:tcPr>
          <w:p w:rsidRPr="00437DCF" w:rsidR="002957A5" w:rsidP="003A0A3E" w:rsidRDefault="002957A5" w14:paraId="6E1AF691" w14:textId="6AE453F2">
            <w:pPr>
              <w:jc w:val="right"/>
              <w:rPr>
                <w:rFonts w:eastAsia="Times New Roman" w:cstheme="minorHAnsi"/>
                <w:color w:val="000000"/>
              </w:rPr>
            </w:pPr>
            <w:r w:rsidRPr="00437DCF">
              <w:rPr>
                <w:rFonts w:eastAsia="Times New Roman" w:cstheme="minorHAnsi"/>
                <w:color w:val="000000"/>
              </w:rPr>
              <w:t>2.11%</w:t>
            </w:r>
          </w:p>
        </w:tc>
        <w:tc>
          <w:tcPr>
            <w:tcW w:w="1170" w:type="dxa"/>
            <w:noWrap/>
            <w:tcMar/>
            <w:hideMark/>
          </w:tcPr>
          <w:p w:rsidRPr="00437DCF" w:rsidR="002957A5" w:rsidP="003A0A3E" w:rsidRDefault="002957A5" w14:paraId="1B721150" w14:textId="35004DA6">
            <w:pPr>
              <w:jc w:val="right"/>
              <w:rPr>
                <w:rFonts w:eastAsia="Times New Roman" w:cstheme="minorHAnsi"/>
                <w:color w:val="000000"/>
              </w:rPr>
            </w:pPr>
            <w:r w:rsidRPr="00437DCF">
              <w:rPr>
                <w:rFonts w:eastAsia="Times New Roman" w:cstheme="minorHAnsi"/>
                <w:color w:val="000000"/>
              </w:rPr>
              <w:t>4</w:t>
            </w:r>
          </w:p>
        </w:tc>
        <w:tc>
          <w:tcPr>
            <w:tcW w:w="1260" w:type="dxa"/>
            <w:noWrap/>
            <w:tcMar/>
            <w:hideMark/>
          </w:tcPr>
          <w:p w:rsidRPr="00437DCF" w:rsidR="002957A5" w:rsidP="003A0A3E" w:rsidRDefault="002957A5" w14:paraId="020EEEA0" w14:textId="5AFF7E09">
            <w:pPr>
              <w:jc w:val="right"/>
              <w:rPr>
                <w:rFonts w:eastAsia="Times New Roman" w:cstheme="minorHAnsi"/>
                <w:color w:val="000000"/>
              </w:rPr>
            </w:pPr>
            <w:r w:rsidRPr="00437DCF">
              <w:rPr>
                <w:rFonts w:eastAsia="Times New Roman" w:cstheme="minorHAnsi"/>
                <w:color w:val="000000"/>
              </w:rPr>
              <w:t>7</w:t>
            </w:r>
          </w:p>
        </w:tc>
        <w:tc>
          <w:tcPr>
            <w:tcW w:w="1440" w:type="dxa"/>
            <w:noWrap/>
            <w:tcMar/>
            <w:hideMark/>
          </w:tcPr>
          <w:p w:rsidRPr="00437DCF" w:rsidR="002957A5" w:rsidP="003A0A3E" w:rsidRDefault="002957A5" w14:paraId="11E52B52" w14:textId="1F125CDB">
            <w:pPr>
              <w:jc w:val="right"/>
              <w:rPr>
                <w:rFonts w:eastAsia="Times New Roman" w:cstheme="minorHAnsi"/>
                <w:color w:val="000000"/>
              </w:rPr>
            </w:pPr>
            <w:r w:rsidRPr="00437DCF">
              <w:rPr>
                <w:rFonts w:eastAsia="Times New Roman" w:cstheme="minorHAnsi"/>
                <w:color w:val="000000"/>
              </w:rPr>
              <w:t>4.93%</w:t>
            </w:r>
          </w:p>
        </w:tc>
        <w:tc>
          <w:tcPr>
            <w:tcW w:w="1260" w:type="dxa"/>
            <w:noWrap/>
            <w:tcMar/>
            <w:hideMark/>
          </w:tcPr>
          <w:p w:rsidRPr="00437DCF" w:rsidR="002957A5" w:rsidP="003A0A3E" w:rsidRDefault="002957A5" w14:paraId="1FBBAF4D" w14:textId="558042DC">
            <w:pPr>
              <w:rPr>
                <w:rFonts w:eastAsia="Times New Roman" w:cstheme="minorHAnsi"/>
                <w:color w:val="000000"/>
              </w:rPr>
            </w:pPr>
            <w:r w:rsidRPr="00437DCF">
              <w:rPr>
                <w:rFonts w:eastAsia="Times New Roman" w:cstheme="minorHAnsi"/>
                <w:color w:val="000000"/>
              </w:rPr>
              <w:t>Personal, Academic</w:t>
            </w:r>
          </w:p>
        </w:tc>
      </w:tr>
      <w:tr w:rsidRPr="003A0A3E" w:rsidR="002957A5" w:rsidTr="04E6A958" w14:paraId="55F2DC8B" w14:textId="77777777">
        <w:trPr>
          <w:trHeight w:val="300"/>
        </w:trPr>
        <w:tc>
          <w:tcPr>
            <w:tcW w:w="1368" w:type="dxa"/>
            <w:noWrap/>
            <w:tcMar/>
            <w:hideMark/>
          </w:tcPr>
          <w:p w:rsidRPr="00437DCF" w:rsidR="002957A5" w:rsidP="003A0A3E" w:rsidRDefault="002957A5" w14:paraId="1A8BFACB" w14:textId="5B0309D3">
            <w:pPr>
              <w:jc w:val="right"/>
              <w:rPr>
                <w:rFonts w:eastAsia="Times New Roman" w:cstheme="minorHAnsi"/>
                <w:color w:val="000000"/>
              </w:rPr>
            </w:pPr>
            <w:r w:rsidRPr="00437DCF">
              <w:rPr>
                <w:rFonts w:eastAsia="Times New Roman" w:cstheme="minorHAnsi"/>
                <w:color w:val="000000"/>
              </w:rPr>
              <w:t>2021</w:t>
            </w:r>
          </w:p>
        </w:tc>
        <w:tc>
          <w:tcPr>
            <w:tcW w:w="1080" w:type="dxa"/>
            <w:noWrap/>
            <w:tcMar/>
            <w:hideMark/>
          </w:tcPr>
          <w:p w:rsidRPr="00437DCF" w:rsidR="002957A5" w:rsidP="003A0A3E" w:rsidRDefault="002957A5" w14:paraId="0720F905" w14:textId="01F85017">
            <w:pPr>
              <w:jc w:val="right"/>
              <w:rPr>
                <w:rFonts w:eastAsia="Times New Roman" w:cstheme="minorHAnsi"/>
                <w:color w:val="000000"/>
              </w:rPr>
            </w:pPr>
            <w:r>
              <w:rPr>
                <w:rFonts w:eastAsia="Times New Roman" w:cstheme="minorHAnsi"/>
                <w:color w:val="000000"/>
              </w:rPr>
              <w:t>138</w:t>
            </w:r>
          </w:p>
        </w:tc>
        <w:tc>
          <w:tcPr>
            <w:tcW w:w="1080" w:type="dxa"/>
            <w:noWrap/>
            <w:tcMar/>
            <w:hideMark/>
          </w:tcPr>
          <w:p w:rsidRPr="00437DCF" w:rsidR="002957A5" w:rsidP="003A0A3E" w:rsidRDefault="002957A5" w14:paraId="16FDDBEF" w14:textId="6560D49C">
            <w:pPr>
              <w:jc w:val="right"/>
              <w:rPr>
                <w:rFonts w:eastAsia="Times New Roman" w:cstheme="minorHAnsi"/>
                <w:color w:val="000000"/>
              </w:rPr>
            </w:pPr>
            <w:r>
              <w:rPr>
                <w:rFonts w:eastAsia="Times New Roman" w:cstheme="minorHAnsi"/>
                <w:color w:val="000000"/>
              </w:rPr>
              <w:t>4</w:t>
            </w:r>
          </w:p>
        </w:tc>
        <w:tc>
          <w:tcPr>
            <w:tcW w:w="1260" w:type="dxa"/>
            <w:noWrap/>
            <w:tcMar/>
            <w:hideMark/>
          </w:tcPr>
          <w:p w:rsidRPr="00437DCF" w:rsidR="002957A5" w:rsidP="003A0A3E" w:rsidRDefault="002957A5" w14:paraId="23EB0C42" w14:textId="1DBA07DD">
            <w:pPr>
              <w:jc w:val="right"/>
              <w:rPr>
                <w:rFonts w:eastAsia="Times New Roman" w:cstheme="minorHAnsi"/>
                <w:color w:val="000000"/>
              </w:rPr>
            </w:pPr>
            <w:r>
              <w:rPr>
                <w:rFonts w:eastAsia="Times New Roman" w:cstheme="minorHAnsi"/>
                <w:color w:val="000000"/>
              </w:rPr>
              <w:t>2.8%</w:t>
            </w:r>
          </w:p>
        </w:tc>
        <w:tc>
          <w:tcPr>
            <w:tcW w:w="1170" w:type="dxa"/>
            <w:noWrap/>
            <w:tcMar/>
            <w:hideMark/>
          </w:tcPr>
          <w:p w:rsidRPr="00437DCF" w:rsidR="002957A5" w:rsidP="003A0A3E" w:rsidRDefault="002957A5" w14:paraId="0B420ECE" w14:textId="2ECA799E">
            <w:pPr>
              <w:jc w:val="right"/>
              <w:rPr>
                <w:rFonts w:eastAsia="Times New Roman" w:cstheme="minorHAnsi"/>
                <w:color w:val="000000"/>
              </w:rPr>
            </w:pPr>
            <w:r>
              <w:rPr>
                <w:rFonts w:eastAsia="Times New Roman" w:cstheme="minorHAnsi"/>
                <w:color w:val="000000"/>
              </w:rPr>
              <w:t>4</w:t>
            </w:r>
          </w:p>
        </w:tc>
        <w:tc>
          <w:tcPr>
            <w:tcW w:w="1260" w:type="dxa"/>
            <w:noWrap/>
            <w:tcMar/>
            <w:hideMark/>
          </w:tcPr>
          <w:p w:rsidRPr="00437DCF" w:rsidR="002957A5" w:rsidP="003A0A3E" w:rsidRDefault="002957A5" w14:paraId="003EAB9D" w14:textId="6034DE8A">
            <w:pPr>
              <w:jc w:val="right"/>
              <w:rPr>
                <w:rFonts w:eastAsia="Times New Roman" w:cstheme="minorHAnsi"/>
                <w:color w:val="000000"/>
              </w:rPr>
            </w:pPr>
            <w:r>
              <w:rPr>
                <w:rFonts w:eastAsia="Times New Roman" w:cstheme="minorHAnsi"/>
                <w:color w:val="000000"/>
              </w:rPr>
              <w:t>8</w:t>
            </w:r>
          </w:p>
        </w:tc>
        <w:tc>
          <w:tcPr>
            <w:tcW w:w="1440" w:type="dxa"/>
            <w:noWrap/>
            <w:tcMar/>
            <w:hideMark/>
          </w:tcPr>
          <w:p w:rsidRPr="00437DCF" w:rsidR="002957A5" w:rsidP="003A0A3E" w:rsidRDefault="002957A5" w14:paraId="7F4A510A" w14:textId="28A0C3C7">
            <w:pPr>
              <w:jc w:val="right"/>
              <w:rPr>
                <w:rFonts w:eastAsia="Times New Roman" w:cstheme="minorHAnsi"/>
                <w:color w:val="000000"/>
              </w:rPr>
            </w:pPr>
            <w:r>
              <w:rPr>
                <w:rFonts w:eastAsia="Times New Roman" w:cstheme="minorHAnsi"/>
                <w:color w:val="000000"/>
              </w:rPr>
              <w:t>5.7%</w:t>
            </w:r>
          </w:p>
        </w:tc>
        <w:tc>
          <w:tcPr>
            <w:tcW w:w="1260" w:type="dxa"/>
            <w:noWrap/>
            <w:tcMar/>
            <w:hideMark/>
          </w:tcPr>
          <w:p w:rsidRPr="00437DCF" w:rsidR="002957A5" w:rsidP="003A0A3E" w:rsidRDefault="002957A5" w14:paraId="6113F6E0" w14:textId="625BC03F">
            <w:pPr>
              <w:rPr>
                <w:rFonts w:eastAsia="Times New Roman" w:cstheme="minorHAnsi"/>
                <w:color w:val="000000"/>
              </w:rPr>
            </w:pPr>
            <w:r>
              <w:rPr>
                <w:rFonts w:eastAsia="Times New Roman" w:cstheme="minorHAnsi"/>
                <w:color w:val="000000"/>
              </w:rPr>
              <w:t>Personal, Academic</w:t>
            </w:r>
          </w:p>
        </w:tc>
      </w:tr>
      <w:tr w:rsidRPr="003A0A3E" w:rsidR="002957A5" w:rsidTr="04E6A958" w14:paraId="44E5268E" w14:textId="77777777">
        <w:trPr>
          <w:trHeight w:val="300"/>
        </w:trPr>
        <w:tc>
          <w:tcPr>
            <w:tcW w:w="1368" w:type="dxa"/>
            <w:noWrap/>
            <w:tcMar/>
          </w:tcPr>
          <w:p w:rsidRPr="00437DCF" w:rsidR="002957A5" w:rsidP="003A0A3E" w:rsidRDefault="002957A5" w14:paraId="6103B349" w14:textId="7A013C7A">
            <w:pPr>
              <w:jc w:val="right"/>
              <w:rPr>
                <w:rFonts w:eastAsia="Times New Roman" w:cstheme="minorHAnsi"/>
                <w:color w:val="000000"/>
              </w:rPr>
            </w:pPr>
            <w:r>
              <w:rPr>
                <w:rFonts w:eastAsia="Times New Roman" w:cstheme="minorHAnsi"/>
                <w:color w:val="000000"/>
              </w:rPr>
              <w:t>2022</w:t>
            </w:r>
          </w:p>
        </w:tc>
        <w:tc>
          <w:tcPr>
            <w:tcW w:w="1080" w:type="dxa"/>
            <w:noWrap/>
            <w:tcMar/>
          </w:tcPr>
          <w:p w:rsidRPr="00437DCF" w:rsidR="002957A5" w:rsidP="003A0A3E" w:rsidRDefault="002957A5" w14:paraId="6601DBD9" w14:textId="12F0A4BD">
            <w:pPr>
              <w:jc w:val="right"/>
              <w:rPr>
                <w:rFonts w:eastAsia="Times New Roman" w:cstheme="minorHAnsi"/>
                <w:color w:val="000000"/>
              </w:rPr>
            </w:pPr>
            <w:r>
              <w:rPr>
                <w:rFonts w:eastAsia="Times New Roman" w:cstheme="minorHAnsi"/>
                <w:color w:val="000000"/>
              </w:rPr>
              <w:t>139</w:t>
            </w:r>
          </w:p>
        </w:tc>
        <w:tc>
          <w:tcPr>
            <w:tcW w:w="1080" w:type="dxa"/>
            <w:noWrap/>
            <w:tcMar/>
          </w:tcPr>
          <w:p w:rsidRPr="00437DCF" w:rsidR="002957A5" w:rsidP="003A0A3E" w:rsidRDefault="002957A5" w14:paraId="705BF5FC" w14:textId="766E8507">
            <w:pPr>
              <w:jc w:val="right"/>
              <w:rPr>
                <w:rFonts w:eastAsia="Times New Roman" w:cstheme="minorHAnsi"/>
                <w:color w:val="000000"/>
              </w:rPr>
            </w:pPr>
            <w:r>
              <w:rPr>
                <w:rFonts w:eastAsia="Times New Roman" w:cstheme="minorHAnsi"/>
                <w:color w:val="000000"/>
              </w:rPr>
              <w:t>6</w:t>
            </w:r>
          </w:p>
        </w:tc>
        <w:tc>
          <w:tcPr>
            <w:tcW w:w="1260" w:type="dxa"/>
            <w:noWrap/>
            <w:tcMar/>
          </w:tcPr>
          <w:p w:rsidRPr="00437DCF" w:rsidR="002957A5" w:rsidP="003A0A3E" w:rsidRDefault="002957A5" w14:paraId="12F8C2CE" w14:textId="52BBB450">
            <w:pPr>
              <w:jc w:val="right"/>
              <w:rPr>
                <w:rFonts w:eastAsia="Times New Roman" w:cstheme="minorHAnsi"/>
                <w:color w:val="000000"/>
              </w:rPr>
            </w:pPr>
            <w:r>
              <w:rPr>
                <w:rFonts w:eastAsia="Times New Roman" w:cstheme="minorHAnsi"/>
                <w:color w:val="000000"/>
              </w:rPr>
              <w:t>4.3%</w:t>
            </w:r>
          </w:p>
        </w:tc>
        <w:tc>
          <w:tcPr>
            <w:tcW w:w="1170" w:type="dxa"/>
            <w:noWrap/>
            <w:tcMar/>
          </w:tcPr>
          <w:p w:rsidRPr="00437DCF" w:rsidR="002957A5" w:rsidP="003A0A3E" w:rsidRDefault="002957A5" w14:paraId="6C560EDB" w14:textId="770FAF2A">
            <w:pPr>
              <w:jc w:val="right"/>
              <w:rPr>
                <w:rFonts w:eastAsia="Times New Roman" w:cstheme="minorHAnsi"/>
                <w:color w:val="000000"/>
              </w:rPr>
            </w:pPr>
            <w:r>
              <w:rPr>
                <w:rFonts w:eastAsia="Times New Roman" w:cstheme="minorHAnsi"/>
                <w:color w:val="000000"/>
              </w:rPr>
              <w:t>2</w:t>
            </w:r>
          </w:p>
        </w:tc>
        <w:tc>
          <w:tcPr>
            <w:tcW w:w="1260" w:type="dxa"/>
            <w:noWrap/>
            <w:tcMar/>
          </w:tcPr>
          <w:p w:rsidRPr="00437DCF" w:rsidR="002957A5" w:rsidP="003A0A3E" w:rsidRDefault="002957A5" w14:paraId="3C84E656" w14:textId="704FF4D2">
            <w:pPr>
              <w:jc w:val="right"/>
              <w:rPr>
                <w:rFonts w:eastAsia="Times New Roman" w:cstheme="minorHAnsi"/>
                <w:color w:val="000000"/>
              </w:rPr>
            </w:pPr>
            <w:r>
              <w:rPr>
                <w:rFonts w:eastAsia="Times New Roman" w:cstheme="minorHAnsi"/>
                <w:color w:val="000000"/>
              </w:rPr>
              <w:t>14</w:t>
            </w:r>
          </w:p>
        </w:tc>
        <w:tc>
          <w:tcPr>
            <w:tcW w:w="1440" w:type="dxa"/>
            <w:noWrap/>
            <w:tcMar/>
          </w:tcPr>
          <w:p w:rsidRPr="00437DCF" w:rsidR="002957A5" w:rsidP="003A0A3E" w:rsidRDefault="002957A5" w14:paraId="518557F8" w14:textId="51D1AFD5">
            <w:pPr>
              <w:jc w:val="right"/>
              <w:rPr>
                <w:rFonts w:eastAsia="Times New Roman" w:cstheme="minorHAnsi"/>
                <w:color w:val="000000"/>
              </w:rPr>
            </w:pPr>
            <w:r>
              <w:rPr>
                <w:rFonts w:eastAsia="Times New Roman" w:cstheme="minorHAnsi"/>
                <w:color w:val="000000"/>
              </w:rPr>
              <w:t>10%</w:t>
            </w:r>
          </w:p>
        </w:tc>
        <w:tc>
          <w:tcPr>
            <w:tcW w:w="1260" w:type="dxa"/>
            <w:noWrap/>
            <w:tcMar/>
          </w:tcPr>
          <w:p w:rsidRPr="00437DCF" w:rsidR="002957A5" w:rsidP="003A0A3E" w:rsidRDefault="002957A5" w14:paraId="038CA010" w14:textId="3ED63236">
            <w:pPr>
              <w:rPr>
                <w:rFonts w:eastAsia="Times New Roman" w:cstheme="minorHAnsi"/>
                <w:color w:val="000000"/>
              </w:rPr>
            </w:pPr>
            <w:r>
              <w:rPr>
                <w:rFonts w:eastAsia="Times New Roman" w:cstheme="minorHAnsi"/>
                <w:color w:val="000000"/>
              </w:rPr>
              <w:t>Personal, Academic</w:t>
            </w:r>
          </w:p>
        </w:tc>
      </w:tr>
      <w:tr w:rsidRPr="003A0A3E" w:rsidR="002957A5" w:rsidTr="04E6A958" w14:paraId="528A0741" w14:textId="77777777">
        <w:trPr>
          <w:trHeight w:val="300"/>
        </w:trPr>
        <w:tc>
          <w:tcPr>
            <w:tcW w:w="1368" w:type="dxa"/>
            <w:noWrap/>
            <w:tcMar/>
          </w:tcPr>
          <w:p w:rsidRPr="00437DCF" w:rsidR="002957A5" w:rsidP="003A0A3E" w:rsidRDefault="002957A5" w14:paraId="2604FDE3" w14:textId="53FBF029">
            <w:pPr>
              <w:jc w:val="right"/>
              <w:rPr>
                <w:rFonts w:eastAsia="Times New Roman" w:cstheme="minorHAnsi"/>
                <w:color w:val="000000"/>
              </w:rPr>
            </w:pPr>
            <w:r>
              <w:rPr>
                <w:rFonts w:eastAsia="Times New Roman" w:cstheme="minorHAnsi"/>
                <w:color w:val="000000"/>
              </w:rPr>
              <w:t>2023</w:t>
            </w:r>
          </w:p>
        </w:tc>
        <w:tc>
          <w:tcPr>
            <w:tcW w:w="1080" w:type="dxa"/>
            <w:noWrap/>
            <w:tcMar/>
          </w:tcPr>
          <w:p w:rsidRPr="00437DCF" w:rsidR="002957A5" w:rsidP="003A0A3E" w:rsidRDefault="002957A5" w14:paraId="288CC150" w14:textId="428C41F0">
            <w:pPr>
              <w:jc w:val="right"/>
              <w:rPr>
                <w:rFonts w:eastAsia="Times New Roman" w:cstheme="minorHAnsi"/>
                <w:color w:val="000000"/>
              </w:rPr>
            </w:pPr>
            <w:r>
              <w:rPr>
                <w:rFonts w:eastAsia="Times New Roman" w:cstheme="minorHAnsi"/>
                <w:color w:val="000000"/>
              </w:rPr>
              <w:t>133</w:t>
            </w:r>
          </w:p>
        </w:tc>
        <w:tc>
          <w:tcPr>
            <w:tcW w:w="1080" w:type="dxa"/>
            <w:noWrap/>
            <w:tcMar/>
          </w:tcPr>
          <w:p w:rsidRPr="00437DCF" w:rsidR="002957A5" w:rsidP="003A0A3E" w:rsidRDefault="002957A5" w14:paraId="3AE0D75B" w14:textId="03904661">
            <w:pPr>
              <w:jc w:val="right"/>
              <w:rPr>
                <w:rFonts w:eastAsia="Times New Roman" w:cstheme="minorHAnsi"/>
                <w:color w:val="000000"/>
              </w:rPr>
            </w:pPr>
            <w:r>
              <w:rPr>
                <w:rFonts w:eastAsia="Times New Roman" w:cstheme="minorHAnsi"/>
                <w:color w:val="000000"/>
              </w:rPr>
              <w:t>3</w:t>
            </w:r>
          </w:p>
        </w:tc>
        <w:tc>
          <w:tcPr>
            <w:tcW w:w="1260" w:type="dxa"/>
            <w:noWrap/>
            <w:tcMar/>
          </w:tcPr>
          <w:p w:rsidRPr="00437DCF" w:rsidR="002957A5" w:rsidP="003A0A3E" w:rsidRDefault="002957A5" w14:paraId="5EB287DD" w14:textId="0AB30B98">
            <w:pPr>
              <w:jc w:val="right"/>
              <w:rPr>
                <w:rFonts w:eastAsia="Times New Roman" w:cstheme="minorHAnsi"/>
                <w:color w:val="000000"/>
              </w:rPr>
            </w:pPr>
            <w:r>
              <w:rPr>
                <w:rFonts w:eastAsia="Times New Roman" w:cstheme="minorHAnsi"/>
                <w:color w:val="000000"/>
              </w:rPr>
              <w:t>2.26%</w:t>
            </w:r>
          </w:p>
        </w:tc>
        <w:tc>
          <w:tcPr>
            <w:tcW w:w="1170" w:type="dxa"/>
            <w:noWrap/>
            <w:tcMar/>
          </w:tcPr>
          <w:p w:rsidRPr="00437DCF" w:rsidR="002957A5" w:rsidP="003A0A3E" w:rsidRDefault="002957A5" w14:paraId="0212FFE8" w14:textId="0552596B">
            <w:pPr>
              <w:jc w:val="right"/>
              <w:rPr>
                <w:rFonts w:eastAsia="Times New Roman" w:cstheme="minorHAnsi"/>
                <w:color w:val="000000"/>
              </w:rPr>
            </w:pPr>
            <w:r>
              <w:rPr>
                <w:rFonts w:eastAsia="Times New Roman" w:cstheme="minorHAnsi"/>
                <w:color w:val="000000"/>
              </w:rPr>
              <w:t>2</w:t>
            </w:r>
          </w:p>
        </w:tc>
        <w:tc>
          <w:tcPr>
            <w:tcW w:w="1260" w:type="dxa"/>
            <w:noWrap/>
            <w:tcMar/>
          </w:tcPr>
          <w:p w:rsidRPr="00437DCF" w:rsidR="002957A5" w:rsidP="003A0A3E" w:rsidRDefault="002957A5" w14:paraId="2DF019DC" w14:textId="1905F28D">
            <w:pPr>
              <w:jc w:val="right"/>
              <w:rPr>
                <w:rFonts w:eastAsia="Times New Roman" w:cstheme="minorHAnsi"/>
                <w:color w:val="000000"/>
              </w:rPr>
            </w:pPr>
            <w:r>
              <w:rPr>
                <w:rFonts w:eastAsia="Times New Roman" w:cstheme="minorHAnsi"/>
                <w:color w:val="000000"/>
              </w:rPr>
              <w:t>1.5%</w:t>
            </w:r>
          </w:p>
        </w:tc>
        <w:tc>
          <w:tcPr>
            <w:tcW w:w="1440" w:type="dxa"/>
            <w:noWrap/>
            <w:tcMar/>
          </w:tcPr>
          <w:p w:rsidRPr="00437DCF" w:rsidR="002957A5" w:rsidP="003A0A3E" w:rsidRDefault="002957A5" w14:paraId="6F1CD7B3" w14:textId="12F10E32">
            <w:pPr>
              <w:jc w:val="right"/>
              <w:rPr>
                <w:rFonts w:eastAsia="Times New Roman" w:cstheme="minorHAnsi"/>
                <w:color w:val="000000"/>
              </w:rPr>
            </w:pPr>
            <w:r>
              <w:rPr>
                <w:rFonts w:eastAsia="Times New Roman" w:cstheme="minorHAnsi"/>
                <w:color w:val="000000"/>
              </w:rPr>
              <w:t>5.26%</w:t>
            </w:r>
          </w:p>
        </w:tc>
        <w:tc>
          <w:tcPr>
            <w:tcW w:w="1260" w:type="dxa"/>
            <w:noWrap/>
            <w:tcMar/>
          </w:tcPr>
          <w:p w:rsidRPr="00437DCF" w:rsidR="002957A5" w:rsidP="003A0A3E" w:rsidRDefault="002957A5" w14:paraId="408BE982" w14:textId="38B7579F">
            <w:pPr>
              <w:rPr>
                <w:rFonts w:eastAsia="Times New Roman" w:cstheme="minorHAnsi"/>
                <w:color w:val="000000"/>
              </w:rPr>
            </w:pPr>
            <w:r>
              <w:rPr>
                <w:rFonts w:eastAsia="Times New Roman" w:cstheme="minorHAnsi"/>
                <w:color w:val="000000"/>
              </w:rPr>
              <w:t>Personal, Academic</w:t>
            </w:r>
          </w:p>
        </w:tc>
      </w:tr>
      <w:tr w:rsidRPr="003A0A3E" w:rsidR="002957A5" w:rsidTr="04E6A958" w14:paraId="2A2D7ACC" w14:textId="77777777">
        <w:trPr>
          <w:trHeight w:val="300"/>
        </w:trPr>
        <w:tc>
          <w:tcPr>
            <w:tcW w:w="1368" w:type="dxa"/>
            <w:noWrap/>
            <w:tcMar/>
          </w:tcPr>
          <w:p w:rsidRPr="00437DCF" w:rsidR="002957A5" w:rsidP="003A0A3E" w:rsidRDefault="002957A5" w14:paraId="14451917" w14:textId="6C1CD743">
            <w:pPr>
              <w:jc w:val="right"/>
              <w:rPr>
                <w:rFonts w:eastAsia="Times New Roman" w:cstheme="minorHAnsi"/>
                <w:color w:val="000000"/>
              </w:rPr>
            </w:pPr>
            <w:r>
              <w:rPr>
                <w:rFonts w:eastAsia="Times New Roman" w:cstheme="minorHAnsi"/>
                <w:color w:val="000000"/>
              </w:rPr>
              <w:t>2024</w:t>
            </w:r>
          </w:p>
        </w:tc>
        <w:tc>
          <w:tcPr>
            <w:tcW w:w="1080" w:type="dxa"/>
            <w:noWrap/>
            <w:tcMar/>
          </w:tcPr>
          <w:p w:rsidRPr="00437DCF" w:rsidR="002957A5" w:rsidP="04E6A958" w:rsidRDefault="002957A5" w14:paraId="39E03DFB" w14:textId="27FA17D1">
            <w:pPr>
              <w:jc w:val="right"/>
              <w:rPr>
                <w:rFonts w:eastAsia="Times New Roman" w:cs="Calibri" w:cstheme="minorAscii"/>
                <w:color w:val="000000"/>
              </w:rPr>
            </w:pPr>
            <w:r w:rsidRPr="04E6A958" w:rsidR="7195AEC2">
              <w:rPr>
                <w:rFonts w:eastAsia="Times New Roman" w:cs="Calibri" w:cstheme="minorAscii"/>
                <w:color w:val="000000" w:themeColor="text1" w:themeTint="FF" w:themeShade="FF"/>
              </w:rPr>
              <w:t>141</w:t>
            </w:r>
          </w:p>
        </w:tc>
        <w:tc>
          <w:tcPr>
            <w:tcW w:w="1080" w:type="dxa"/>
            <w:noWrap/>
            <w:tcMar/>
          </w:tcPr>
          <w:p w:rsidRPr="00437DCF" w:rsidR="002957A5" w:rsidP="04E6A958" w:rsidRDefault="002957A5" w14:paraId="6AB6899E" w14:textId="4064A296">
            <w:pPr>
              <w:jc w:val="right"/>
              <w:rPr>
                <w:rFonts w:eastAsia="Times New Roman" w:cs="Calibri" w:cstheme="minorAscii"/>
                <w:color w:val="000000"/>
              </w:rPr>
            </w:pPr>
            <w:r w:rsidRPr="04E6A958" w:rsidR="1510DCFE">
              <w:rPr>
                <w:rFonts w:eastAsia="Times New Roman" w:cs="Calibri" w:cstheme="minorAscii"/>
                <w:color w:val="000000" w:themeColor="text1" w:themeTint="FF" w:themeShade="FF"/>
              </w:rPr>
              <w:t>8</w:t>
            </w:r>
          </w:p>
        </w:tc>
        <w:tc>
          <w:tcPr>
            <w:tcW w:w="1260" w:type="dxa"/>
            <w:noWrap/>
            <w:tcMar/>
          </w:tcPr>
          <w:p w:rsidRPr="00437DCF" w:rsidR="002957A5" w:rsidP="04E6A958" w:rsidRDefault="002957A5" w14:paraId="77CA5E84" w14:textId="35A3DF30">
            <w:pPr>
              <w:jc w:val="right"/>
              <w:rPr>
                <w:rFonts w:eastAsia="Times New Roman" w:cs="Calibri" w:cstheme="minorAscii"/>
                <w:color w:val="000000"/>
              </w:rPr>
            </w:pPr>
            <w:r w:rsidRPr="04E6A958" w:rsidR="1510DCFE">
              <w:rPr>
                <w:rFonts w:eastAsia="Times New Roman" w:cs="Calibri" w:cstheme="minorAscii"/>
                <w:color w:val="000000" w:themeColor="text1" w:themeTint="FF" w:themeShade="FF"/>
              </w:rPr>
              <w:t>5.67%</w:t>
            </w:r>
          </w:p>
        </w:tc>
        <w:tc>
          <w:tcPr>
            <w:tcW w:w="1170" w:type="dxa"/>
            <w:noWrap/>
            <w:tcMar/>
          </w:tcPr>
          <w:p w:rsidRPr="00437DCF" w:rsidR="002957A5" w:rsidP="04E6A958" w:rsidRDefault="002957A5" w14:paraId="2998F247" w14:textId="2635C7A2">
            <w:pPr>
              <w:jc w:val="right"/>
              <w:rPr>
                <w:rFonts w:eastAsia="Times New Roman" w:cs="Calibri" w:cstheme="minorAscii"/>
                <w:color w:val="000000"/>
              </w:rPr>
            </w:pPr>
            <w:r w:rsidRPr="04E6A958" w:rsidR="1510DCFE">
              <w:rPr>
                <w:rFonts w:eastAsia="Times New Roman" w:cs="Calibri" w:cstheme="minorAscii"/>
                <w:color w:val="000000" w:themeColor="text1" w:themeTint="FF" w:themeShade="FF"/>
              </w:rPr>
              <w:t>2</w:t>
            </w:r>
          </w:p>
        </w:tc>
        <w:tc>
          <w:tcPr>
            <w:tcW w:w="1260" w:type="dxa"/>
            <w:noWrap/>
            <w:tcMar/>
          </w:tcPr>
          <w:p w:rsidRPr="00437DCF" w:rsidR="002957A5" w:rsidP="04E6A958" w:rsidRDefault="002957A5" w14:paraId="6B935F3D" w14:textId="5A2E87C5">
            <w:pPr>
              <w:jc w:val="right"/>
              <w:rPr>
                <w:rFonts w:eastAsia="Times New Roman" w:cs="Calibri" w:cstheme="minorAscii"/>
                <w:color w:val="000000"/>
              </w:rPr>
            </w:pPr>
            <w:r w:rsidRPr="04E6A958" w:rsidR="1510DCFE">
              <w:rPr>
                <w:rFonts w:eastAsia="Times New Roman" w:cs="Calibri" w:cstheme="minorAscii"/>
                <w:color w:val="000000" w:themeColor="text1" w:themeTint="FF" w:themeShade="FF"/>
              </w:rPr>
              <w:t>14</w:t>
            </w:r>
          </w:p>
        </w:tc>
        <w:tc>
          <w:tcPr>
            <w:tcW w:w="1440" w:type="dxa"/>
            <w:noWrap/>
            <w:tcMar/>
          </w:tcPr>
          <w:p w:rsidRPr="00437DCF" w:rsidR="002957A5" w:rsidP="04E6A958" w:rsidRDefault="002957A5" w14:paraId="0FB99203" w14:textId="740E2BE2">
            <w:pPr>
              <w:jc w:val="right"/>
              <w:rPr>
                <w:rFonts w:eastAsia="Times New Roman" w:cs="Calibri" w:cstheme="minorAscii"/>
                <w:color w:val="000000"/>
              </w:rPr>
            </w:pPr>
            <w:r w:rsidRPr="04E6A958" w:rsidR="1510DCFE">
              <w:rPr>
                <w:rFonts w:eastAsia="Times New Roman" w:cs="Calibri" w:cstheme="minorAscii"/>
                <w:color w:val="000000" w:themeColor="text1" w:themeTint="FF" w:themeShade="FF"/>
              </w:rPr>
              <w:t>9.93%</w:t>
            </w:r>
          </w:p>
        </w:tc>
        <w:tc>
          <w:tcPr>
            <w:tcW w:w="1260" w:type="dxa"/>
            <w:noWrap/>
            <w:tcMar/>
          </w:tcPr>
          <w:p w:rsidRPr="00437DCF" w:rsidR="002957A5" w:rsidP="04E6A958" w:rsidRDefault="002957A5" w14:paraId="5D233177" w14:textId="1EF52DCC">
            <w:pPr>
              <w:rPr>
                <w:rFonts w:eastAsia="Times New Roman" w:cs="Calibri" w:cstheme="minorAscii"/>
                <w:color w:val="000000"/>
              </w:rPr>
            </w:pPr>
            <w:r w:rsidRPr="04E6A958" w:rsidR="0613C91B">
              <w:rPr>
                <w:rFonts w:eastAsia="Times New Roman" w:cs="Calibri" w:cstheme="minorAscii"/>
                <w:color w:val="000000" w:themeColor="text1" w:themeTint="FF" w:themeShade="FF"/>
              </w:rPr>
              <w:t>Personal, Academic</w:t>
            </w:r>
          </w:p>
        </w:tc>
      </w:tr>
      <w:tr w:rsidRPr="003A0A3E" w:rsidR="002957A5" w:rsidTr="04E6A958" w14:paraId="4AAC0562" w14:textId="77777777">
        <w:trPr>
          <w:trHeight w:val="300"/>
        </w:trPr>
        <w:tc>
          <w:tcPr>
            <w:tcW w:w="1368" w:type="dxa"/>
            <w:noWrap/>
            <w:tcMar/>
          </w:tcPr>
          <w:p w:rsidRPr="00437DCF" w:rsidR="002957A5" w:rsidP="003A0A3E" w:rsidRDefault="002957A5" w14:paraId="2DCCB269" w14:textId="787BEBF1">
            <w:pPr>
              <w:jc w:val="right"/>
              <w:rPr>
                <w:rFonts w:eastAsia="Times New Roman" w:cstheme="minorHAnsi"/>
                <w:color w:val="000000"/>
              </w:rPr>
            </w:pPr>
          </w:p>
        </w:tc>
        <w:tc>
          <w:tcPr>
            <w:tcW w:w="1080" w:type="dxa"/>
            <w:noWrap/>
            <w:tcMar/>
          </w:tcPr>
          <w:p w:rsidRPr="00437DCF" w:rsidR="002957A5" w:rsidP="00236573" w:rsidRDefault="002957A5" w14:paraId="20E538DE" w14:textId="7B75FD1B">
            <w:pPr>
              <w:jc w:val="right"/>
              <w:rPr>
                <w:rFonts w:eastAsia="Times New Roman" w:cstheme="minorHAnsi"/>
                <w:color w:val="000000"/>
              </w:rPr>
            </w:pPr>
          </w:p>
        </w:tc>
        <w:tc>
          <w:tcPr>
            <w:tcW w:w="1080" w:type="dxa"/>
            <w:noWrap/>
            <w:tcMar/>
          </w:tcPr>
          <w:p w:rsidRPr="00437DCF" w:rsidR="002957A5" w:rsidP="003A0A3E" w:rsidRDefault="002957A5" w14:paraId="14C36482" w14:textId="40BF06D5">
            <w:pPr>
              <w:jc w:val="right"/>
              <w:rPr>
                <w:rFonts w:eastAsia="Times New Roman" w:cstheme="minorHAnsi"/>
                <w:color w:val="000000"/>
              </w:rPr>
            </w:pPr>
          </w:p>
        </w:tc>
        <w:tc>
          <w:tcPr>
            <w:tcW w:w="1260" w:type="dxa"/>
            <w:noWrap/>
            <w:tcMar/>
          </w:tcPr>
          <w:p w:rsidRPr="00437DCF" w:rsidR="002957A5" w:rsidP="003A0A3E" w:rsidRDefault="002957A5" w14:paraId="26F38A1F" w14:textId="6416260F">
            <w:pPr>
              <w:jc w:val="right"/>
              <w:rPr>
                <w:rFonts w:eastAsia="Times New Roman" w:cstheme="minorHAnsi"/>
                <w:color w:val="000000"/>
              </w:rPr>
            </w:pPr>
          </w:p>
        </w:tc>
        <w:tc>
          <w:tcPr>
            <w:tcW w:w="1170" w:type="dxa"/>
            <w:noWrap/>
            <w:tcMar/>
          </w:tcPr>
          <w:p w:rsidRPr="00437DCF" w:rsidR="002957A5" w:rsidP="003A0A3E" w:rsidRDefault="002957A5" w14:paraId="68069842" w14:textId="5EBF185A">
            <w:pPr>
              <w:jc w:val="right"/>
              <w:rPr>
                <w:rFonts w:eastAsia="Times New Roman" w:cstheme="minorHAnsi"/>
                <w:color w:val="000000"/>
              </w:rPr>
            </w:pPr>
          </w:p>
        </w:tc>
        <w:tc>
          <w:tcPr>
            <w:tcW w:w="1260" w:type="dxa"/>
            <w:noWrap/>
            <w:tcMar/>
          </w:tcPr>
          <w:p w:rsidRPr="00437DCF" w:rsidR="002957A5" w:rsidP="003A0A3E" w:rsidRDefault="002957A5" w14:paraId="600C0360" w14:textId="2DFD053F">
            <w:pPr>
              <w:jc w:val="right"/>
              <w:rPr>
                <w:rFonts w:eastAsia="Times New Roman" w:cstheme="minorHAnsi"/>
                <w:color w:val="000000"/>
              </w:rPr>
            </w:pPr>
          </w:p>
        </w:tc>
        <w:tc>
          <w:tcPr>
            <w:tcW w:w="1440" w:type="dxa"/>
            <w:noWrap/>
            <w:tcMar/>
          </w:tcPr>
          <w:p w:rsidRPr="00437DCF" w:rsidR="002957A5" w:rsidP="003A0A3E" w:rsidRDefault="002957A5" w14:paraId="47EA6D31" w14:textId="1E368E47">
            <w:pPr>
              <w:jc w:val="right"/>
              <w:rPr>
                <w:rFonts w:eastAsia="Times New Roman" w:cstheme="minorHAnsi"/>
                <w:color w:val="000000"/>
              </w:rPr>
            </w:pPr>
          </w:p>
        </w:tc>
        <w:tc>
          <w:tcPr>
            <w:tcW w:w="1260" w:type="dxa"/>
            <w:noWrap/>
            <w:tcMar/>
          </w:tcPr>
          <w:p w:rsidRPr="00437DCF" w:rsidR="002957A5" w:rsidP="003A0A3E" w:rsidRDefault="002957A5" w14:paraId="076BB92F" w14:textId="078541B6">
            <w:pPr>
              <w:rPr>
                <w:rFonts w:eastAsia="Times New Roman" w:cstheme="minorHAnsi"/>
                <w:color w:val="000000"/>
              </w:rPr>
            </w:pPr>
          </w:p>
        </w:tc>
      </w:tr>
      <w:tr w:rsidRPr="003A0A3E" w:rsidR="002957A5" w:rsidTr="04E6A958" w14:paraId="3DC58376" w14:textId="77777777">
        <w:trPr>
          <w:trHeight w:val="300"/>
        </w:trPr>
        <w:tc>
          <w:tcPr>
            <w:tcW w:w="1368" w:type="dxa"/>
            <w:noWrap/>
            <w:tcMar/>
          </w:tcPr>
          <w:p w:rsidRPr="00437DCF" w:rsidR="002957A5" w:rsidP="003A0A3E" w:rsidRDefault="002957A5" w14:paraId="0389AB91" w14:textId="665D2FFA">
            <w:pPr>
              <w:jc w:val="right"/>
              <w:rPr>
                <w:rFonts w:eastAsia="Times New Roman" w:cstheme="minorHAnsi"/>
                <w:color w:val="000000"/>
              </w:rPr>
            </w:pPr>
          </w:p>
        </w:tc>
        <w:tc>
          <w:tcPr>
            <w:tcW w:w="1080" w:type="dxa"/>
            <w:noWrap/>
            <w:tcMar/>
          </w:tcPr>
          <w:p w:rsidRPr="00437DCF" w:rsidR="002957A5" w:rsidP="00236573" w:rsidRDefault="002957A5" w14:paraId="53879DDC" w14:textId="2BA4A510">
            <w:pPr>
              <w:jc w:val="right"/>
              <w:rPr>
                <w:rFonts w:eastAsia="Times New Roman" w:cstheme="minorHAnsi"/>
                <w:color w:val="000000"/>
              </w:rPr>
            </w:pPr>
          </w:p>
        </w:tc>
        <w:tc>
          <w:tcPr>
            <w:tcW w:w="1080" w:type="dxa"/>
            <w:noWrap/>
            <w:tcMar/>
          </w:tcPr>
          <w:p w:rsidRPr="00437DCF" w:rsidR="002957A5" w:rsidP="003A0A3E" w:rsidRDefault="002957A5" w14:paraId="14BFE601" w14:textId="4030CFE7">
            <w:pPr>
              <w:jc w:val="right"/>
              <w:rPr>
                <w:rFonts w:eastAsia="Times New Roman" w:cstheme="minorHAnsi"/>
                <w:color w:val="000000"/>
              </w:rPr>
            </w:pPr>
          </w:p>
        </w:tc>
        <w:tc>
          <w:tcPr>
            <w:tcW w:w="1260" w:type="dxa"/>
            <w:noWrap/>
            <w:tcMar/>
          </w:tcPr>
          <w:p w:rsidRPr="00437DCF" w:rsidR="002957A5" w:rsidP="003A0A3E" w:rsidRDefault="002957A5" w14:paraId="20E7691D" w14:textId="134E5C1F">
            <w:pPr>
              <w:jc w:val="right"/>
              <w:rPr>
                <w:rFonts w:eastAsia="Times New Roman" w:cstheme="minorHAnsi"/>
                <w:color w:val="000000"/>
              </w:rPr>
            </w:pPr>
          </w:p>
        </w:tc>
        <w:tc>
          <w:tcPr>
            <w:tcW w:w="1170" w:type="dxa"/>
            <w:noWrap/>
            <w:tcMar/>
          </w:tcPr>
          <w:p w:rsidRPr="00437DCF" w:rsidR="002957A5" w:rsidP="003A0A3E" w:rsidRDefault="002957A5" w14:paraId="68B85294" w14:textId="19D4C9CC">
            <w:pPr>
              <w:jc w:val="right"/>
              <w:rPr>
                <w:rFonts w:eastAsia="Times New Roman" w:cstheme="minorHAnsi"/>
                <w:color w:val="000000"/>
              </w:rPr>
            </w:pPr>
          </w:p>
        </w:tc>
        <w:tc>
          <w:tcPr>
            <w:tcW w:w="1260" w:type="dxa"/>
            <w:noWrap/>
            <w:tcMar/>
          </w:tcPr>
          <w:p w:rsidRPr="00437DCF" w:rsidR="002957A5" w:rsidP="003A0A3E" w:rsidRDefault="002957A5" w14:paraId="0244D7D4" w14:textId="6AFA27C6">
            <w:pPr>
              <w:jc w:val="right"/>
              <w:rPr>
                <w:rFonts w:eastAsia="Times New Roman" w:cstheme="minorHAnsi"/>
                <w:color w:val="000000"/>
              </w:rPr>
            </w:pPr>
          </w:p>
        </w:tc>
        <w:tc>
          <w:tcPr>
            <w:tcW w:w="1440" w:type="dxa"/>
            <w:noWrap/>
            <w:tcMar/>
          </w:tcPr>
          <w:p w:rsidRPr="00437DCF" w:rsidR="002957A5" w:rsidP="003A0A3E" w:rsidRDefault="002957A5" w14:paraId="26188E40" w14:textId="3005D647">
            <w:pPr>
              <w:jc w:val="right"/>
              <w:rPr>
                <w:rFonts w:eastAsia="Times New Roman" w:cstheme="minorHAnsi"/>
                <w:color w:val="000000"/>
              </w:rPr>
            </w:pPr>
          </w:p>
        </w:tc>
        <w:tc>
          <w:tcPr>
            <w:tcW w:w="1260" w:type="dxa"/>
            <w:noWrap/>
            <w:tcMar/>
          </w:tcPr>
          <w:p w:rsidRPr="00437DCF" w:rsidR="002957A5" w:rsidP="003A0A3E" w:rsidRDefault="002957A5" w14:paraId="1715E381" w14:textId="4517758F">
            <w:pPr>
              <w:rPr>
                <w:rFonts w:eastAsia="Times New Roman" w:cstheme="minorHAnsi"/>
                <w:color w:val="000000"/>
              </w:rPr>
            </w:pPr>
          </w:p>
        </w:tc>
      </w:tr>
    </w:tbl>
    <w:p w:rsidRPr="00437DCF" w:rsidR="00EB670B" w:rsidRDefault="00EB670B" w14:paraId="44575B1D" w14:textId="77777777">
      <w:pPr>
        <w:rPr>
          <w:rFonts w:cstheme="minorHAnsi"/>
          <w:sz w:val="24"/>
          <w:szCs w:val="24"/>
        </w:rPr>
      </w:pPr>
    </w:p>
    <w:p w:rsidRPr="00437DCF" w:rsidR="0069787A" w:rsidP="0069787A" w:rsidRDefault="00BD75C0" w14:paraId="52F3F523" w14:textId="77777777">
      <w:pPr>
        <w:spacing w:after="0" w:line="240" w:lineRule="auto"/>
        <w:rPr>
          <w:rFonts w:cstheme="minorHAnsi"/>
          <w:sz w:val="32"/>
          <w:szCs w:val="32"/>
          <w:u w:val="single"/>
        </w:rPr>
      </w:pPr>
      <w:r w:rsidRPr="00437DCF">
        <w:rPr>
          <w:rFonts w:cstheme="minorHAnsi"/>
          <w:sz w:val="32"/>
          <w:szCs w:val="32"/>
          <w:u w:val="single"/>
        </w:rPr>
        <w:br w:type="page"/>
      </w:r>
      <w:r w:rsidRPr="00437DCF">
        <w:rPr>
          <w:rFonts w:cstheme="minorHAnsi"/>
          <w:sz w:val="32"/>
          <w:szCs w:val="32"/>
          <w:u w:val="single"/>
        </w:rPr>
        <w:lastRenderedPageBreak/>
        <w:t>NAPLEX Performance</w:t>
      </w:r>
    </w:p>
    <w:p w:rsidR="00756BCF" w:rsidP="0080279F" w:rsidRDefault="0080279F" w14:paraId="41E4585C" w14:textId="0CB3AFC5">
      <w:pPr>
        <w:spacing w:after="0" w:line="240" w:lineRule="auto"/>
        <w:rPr>
          <w:rFonts w:cstheme="minorHAnsi"/>
          <w:sz w:val="20"/>
          <w:szCs w:val="20"/>
        </w:rPr>
      </w:pPr>
      <w:r>
        <w:rPr>
          <w:rFonts w:cstheme="minorHAnsi"/>
          <w:sz w:val="20"/>
          <w:szCs w:val="20"/>
        </w:rPr>
        <w:t>To</w:t>
      </w:r>
      <w:r w:rsidRPr="00437DCF" w:rsidR="00E92E38">
        <w:rPr>
          <w:rFonts w:cstheme="minorHAnsi"/>
          <w:sz w:val="20"/>
          <w:szCs w:val="20"/>
        </w:rPr>
        <w:t xml:space="preserve"> gain state licensure to practice pharmacy, graduates of the PharmD program must pass the North American Pharmacist Licensure Examination (NAPLEX) offered by the National Association of Boards of Pharmacy (NABP).  The Accreditation Council for Pharmacy Education (ACPE) </w:t>
      </w:r>
      <w:r w:rsidRPr="00437DCF" w:rsidR="00783CB8">
        <w:rPr>
          <w:rFonts w:cstheme="minorHAnsi"/>
          <w:sz w:val="20"/>
          <w:szCs w:val="20"/>
        </w:rPr>
        <w:t>compiles statistics on</w:t>
      </w:r>
      <w:r w:rsidRPr="00437DCF" w:rsidR="00E92E38">
        <w:rPr>
          <w:rFonts w:cstheme="minorHAnsi"/>
          <w:sz w:val="20"/>
          <w:szCs w:val="20"/>
        </w:rPr>
        <w:t xml:space="preserve"> the performance of all</w:t>
      </w:r>
      <w:r w:rsidRPr="00437DCF" w:rsidR="00783CB8">
        <w:rPr>
          <w:rFonts w:cstheme="minorHAnsi"/>
          <w:sz w:val="20"/>
          <w:szCs w:val="20"/>
        </w:rPr>
        <w:t xml:space="preserve"> candidates who take the exam</w:t>
      </w:r>
      <w:r w:rsidRPr="00437DCF" w:rsidR="00E92E38">
        <w:rPr>
          <w:rFonts w:cstheme="minorHAnsi"/>
          <w:sz w:val="20"/>
          <w:szCs w:val="20"/>
        </w:rPr>
        <w:t xml:space="preserve">.  The table below shows the NAPLEX pass rate of UGA graduates taking the test for the first time in comparison to the National average pass rate for graduates taking the test </w:t>
      </w:r>
      <w:r w:rsidRPr="00437DCF" w:rsidR="0058736B">
        <w:rPr>
          <w:rFonts w:cstheme="minorHAnsi"/>
          <w:sz w:val="20"/>
          <w:szCs w:val="20"/>
        </w:rPr>
        <w:t>for</w:t>
      </w:r>
      <w:r w:rsidRPr="00437DCF" w:rsidR="00E92E38">
        <w:rPr>
          <w:rFonts w:cstheme="minorHAnsi"/>
          <w:sz w:val="20"/>
          <w:szCs w:val="20"/>
        </w:rPr>
        <w:t xml:space="preserve"> the first time.  The pass rate for UGA PharmD graduates is consistently higher than the national average.</w:t>
      </w:r>
      <w:r w:rsidR="004A72E1">
        <w:rPr>
          <w:rFonts w:cstheme="minorHAnsi"/>
          <w:sz w:val="20"/>
          <w:szCs w:val="20"/>
        </w:rPr>
        <w:t xml:space="preserve"> Please note that the National Board of Pharmacy changed the blueprint for the NAPLEX exam for the Class of 202</w:t>
      </w:r>
      <w:r w:rsidR="0084094B">
        <w:rPr>
          <w:rFonts w:cstheme="minorHAnsi"/>
          <w:sz w:val="20"/>
          <w:szCs w:val="20"/>
        </w:rPr>
        <w:t>2</w:t>
      </w:r>
      <w:r w:rsidR="00E01E64">
        <w:rPr>
          <w:rFonts w:cstheme="minorHAnsi"/>
          <w:sz w:val="20"/>
          <w:szCs w:val="20"/>
        </w:rPr>
        <w:t xml:space="preserve"> leading to drop-off in pass rates nationally.</w:t>
      </w:r>
    </w:p>
    <w:p w:rsidR="00675758" w:rsidP="0080279F" w:rsidRDefault="00675758" w14:paraId="75274AB2" w14:textId="77777777">
      <w:pPr>
        <w:spacing w:after="0" w:line="240" w:lineRule="auto"/>
        <w:rPr>
          <w:rFonts w:cstheme="minorHAnsi"/>
          <w:sz w:val="20"/>
          <w:szCs w:val="20"/>
        </w:rPr>
      </w:pPr>
    </w:p>
    <w:p w:rsidR="00675758" w:rsidP="0080279F" w:rsidRDefault="00675758" w14:paraId="637DDCD2" w14:textId="63181785">
      <w:pPr>
        <w:spacing w:after="0" w:line="240" w:lineRule="auto"/>
        <w:rPr>
          <w:rFonts w:cstheme="minorHAnsi"/>
          <w:sz w:val="20"/>
          <w:szCs w:val="20"/>
        </w:rPr>
      </w:pPr>
      <w:r w:rsidRPr="00675758">
        <w:rPr>
          <w:rFonts w:cstheme="minorHAnsi"/>
          <w:sz w:val="20"/>
          <w:szCs w:val="20"/>
        </w:rPr>
        <w:drawing>
          <wp:inline distT="0" distB="0" distL="0" distR="0" wp14:anchorId="2E4B36DD" wp14:editId="7F12DC2E">
            <wp:extent cx="6988654" cy="3762375"/>
            <wp:effectExtent l="0" t="0" r="3175" b="0"/>
            <wp:docPr id="2003657324" name="Picture 1" descr="A screenshot of a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57324" name="Picture 1" descr="A screenshot of a document"/>
                    <pic:cNvPicPr/>
                  </pic:nvPicPr>
                  <pic:blipFill>
                    <a:blip r:embed="rId11"/>
                    <a:stretch>
                      <a:fillRect/>
                    </a:stretch>
                  </pic:blipFill>
                  <pic:spPr>
                    <a:xfrm>
                      <a:off x="0" y="0"/>
                      <a:ext cx="6993483" cy="3764975"/>
                    </a:xfrm>
                    <a:prstGeom prst="rect">
                      <a:avLst/>
                    </a:prstGeom>
                  </pic:spPr>
                </pic:pic>
              </a:graphicData>
            </a:graphic>
          </wp:inline>
        </w:drawing>
      </w:r>
    </w:p>
    <w:p w:rsidR="0080279F" w:rsidP="0080279F" w:rsidRDefault="0080279F" w14:paraId="3164CA24" w14:textId="77777777">
      <w:pPr>
        <w:spacing w:after="0" w:line="240" w:lineRule="auto"/>
        <w:rPr>
          <w:noProof/>
        </w:rPr>
      </w:pPr>
    </w:p>
    <w:p w:rsidR="00783F9A" w:rsidP="04E6A958" w:rsidRDefault="00A924B5" w14:paraId="510B5123" w14:textId="779C3787">
      <w:pPr>
        <w:rPr>
          <w:rFonts w:cs="Calibri" w:cstheme="minorAscii"/>
          <w:sz w:val="32"/>
          <w:szCs w:val="32"/>
          <w:u w:val="single"/>
        </w:rPr>
      </w:pPr>
      <w:r w:rsidR="00A924B5">
        <w:drawing>
          <wp:inline wp14:editId="7C2905C5" wp14:anchorId="3F0B1BDF">
            <wp:extent cx="8239006" cy="4593950"/>
            <wp:effectExtent l="0" t="0" r="0" b="0"/>
            <wp:docPr id="2128257610" name="Picture 1" descr="NAPLEX Dashboard from Enflu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8257610" name="Picture 1" descr="NAPLEX Dashboard from Enflux"/>
                    <pic:cNvPicPr/>
                  </pic:nvPicPr>
                  <pic:blipFill>
                    <a:blip xmlns:r="http://schemas.openxmlformats.org/officeDocument/2006/relationships" r:embed="rId12">
                      <a:extLst>
                        <a:ext uri="{28A0092B-C50C-407E-A947-70E740481C1C}">
                          <a14:useLocalDpi xmlns:a14="http://schemas.microsoft.com/office/drawing/2010/main"/>
                        </a:ext>
                      </a:extLst>
                    </a:blip>
                    <a:stretch>
                      <a:fillRect/>
                    </a:stretch>
                  </pic:blipFill>
                  <pic:spPr>
                    <a:xfrm rot="0">
                      <a:off x="0" y="0"/>
                      <a:ext cx="8239006" cy="4593950"/>
                    </a:xfrm>
                    <a:prstGeom prst="rect">
                      <a:avLst/>
                    </a:prstGeom>
                  </pic:spPr>
                </pic:pic>
              </a:graphicData>
            </a:graphic>
          </wp:inline>
        </w:drawing>
      </w:r>
    </w:p>
    <w:p w:rsidR="00783F9A" w:rsidRDefault="00470E7E" w14:paraId="0B3992AB" w14:textId="472CE442">
      <w:pPr>
        <w:rPr>
          <w:rFonts w:cstheme="minorHAnsi"/>
        </w:rPr>
      </w:pPr>
      <w:r>
        <w:rPr>
          <w:rFonts w:cstheme="minorHAnsi"/>
        </w:rPr>
        <w:t xml:space="preserve">This table shows trend data related to our NAPLEX performance and in comparison to other Colleges of Pharmacy. </w:t>
      </w:r>
      <w:r w:rsidR="004F7637">
        <w:rPr>
          <w:rFonts w:cstheme="minorHAnsi"/>
        </w:rPr>
        <w:t>The Class of 2024 had the 17</w:t>
      </w:r>
      <w:r w:rsidRPr="004F7637" w:rsidR="004F7637">
        <w:rPr>
          <w:rFonts w:cstheme="minorHAnsi"/>
          <w:vertAlign w:val="superscript"/>
        </w:rPr>
        <w:t>th</w:t>
      </w:r>
      <w:r w:rsidR="004F7637">
        <w:rPr>
          <w:rFonts w:cstheme="minorHAnsi"/>
        </w:rPr>
        <w:t xml:space="preserve"> highest 1</w:t>
      </w:r>
      <w:r w:rsidRPr="004F7637" w:rsidR="004F7637">
        <w:rPr>
          <w:rFonts w:cstheme="minorHAnsi"/>
          <w:vertAlign w:val="superscript"/>
        </w:rPr>
        <w:t>st</w:t>
      </w:r>
      <w:r w:rsidR="004F7637">
        <w:rPr>
          <w:rFonts w:cstheme="minorHAnsi"/>
        </w:rPr>
        <w:t xml:space="preserve"> time pass rate on the NAPLEX for all Colleges/Schools of Pharmacy accredited by ACPE. </w:t>
      </w:r>
      <w:r w:rsidR="00A34ECC">
        <w:rPr>
          <w:rFonts w:cstheme="minorHAnsi"/>
        </w:rPr>
        <w:t>We had the 5</w:t>
      </w:r>
      <w:r w:rsidRPr="00A34ECC" w:rsidR="00A34ECC">
        <w:rPr>
          <w:rFonts w:cstheme="minorHAnsi"/>
          <w:vertAlign w:val="superscript"/>
        </w:rPr>
        <w:t>th</w:t>
      </w:r>
      <w:r w:rsidR="00A34ECC">
        <w:rPr>
          <w:rFonts w:cstheme="minorHAnsi"/>
        </w:rPr>
        <w:t xml:space="preserve"> highest pass rate among large programs (100+ graduates). </w:t>
      </w:r>
      <w:r w:rsidR="00DF33D4">
        <w:rPr>
          <w:rFonts w:cstheme="minorHAnsi"/>
        </w:rPr>
        <w:t>The HIGHEST pass rate in Georgia</w:t>
      </w:r>
      <w:r w:rsidR="00557053">
        <w:rPr>
          <w:rFonts w:cstheme="minorHAnsi"/>
        </w:rPr>
        <w:t>. The 4</w:t>
      </w:r>
      <w:r w:rsidRPr="00557053" w:rsidR="00557053">
        <w:rPr>
          <w:rFonts w:cstheme="minorHAnsi"/>
          <w:vertAlign w:val="superscript"/>
        </w:rPr>
        <w:t>th</w:t>
      </w:r>
      <w:r w:rsidR="00557053">
        <w:rPr>
          <w:rFonts w:cstheme="minorHAnsi"/>
        </w:rPr>
        <w:t xml:space="preserve"> highest pass rate in the Southeastern region of the US.</w:t>
      </w:r>
    </w:p>
    <w:p w:rsidRPr="00437DCF" w:rsidR="00FF7F5C" w:rsidP="00FF7F5C" w:rsidRDefault="00FF7F5C" w14:paraId="18E8A9AD" w14:textId="10C453B2">
      <w:pPr>
        <w:spacing w:after="0" w:line="240" w:lineRule="auto"/>
        <w:rPr>
          <w:rFonts w:cstheme="minorHAnsi"/>
          <w:sz w:val="32"/>
          <w:szCs w:val="32"/>
          <w:u w:val="single"/>
        </w:rPr>
      </w:pPr>
      <w:r>
        <w:rPr>
          <w:rFonts w:cstheme="minorHAnsi"/>
          <w:sz w:val="32"/>
          <w:szCs w:val="32"/>
          <w:u w:val="single"/>
        </w:rPr>
        <w:lastRenderedPageBreak/>
        <w:t xml:space="preserve">MPJE </w:t>
      </w:r>
      <w:r w:rsidRPr="00437DCF">
        <w:rPr>
          <w:rFonts w:cstheme="minorHAnsi"/>
          <w:sz w:val="32"/>
          <w:szCs w:val="32"/>
          <w:u w:val="single"/>
        </w:rPr>
        <w:t>Performance</w:t>
      </w:r>
    </w:p>
    <w:p w:rsidR="00CA6FC7" w:rsidP="00FF7F5C" w:rsidRDefault="00FF7F5C" w14:paraId="4264821A" w14:textId="0CE16B26">
      <w:pPr>
        <w:spacing w:after="0" w:line="240" w:lineRule="auto"/>
        <w:rPr>
          <w:rFonts w:cstheme="minorHAnsi"/>
          <w:sz w:val="20"/>
          <w:szCs w:val="20"/>
        </w:rPr>
      </w:pPr>
      <w:r>
        <w:rPr>
          <w:rFonts w:cstheme="minorHAnsi"/>
          <w:sz w:val="20"/>
          <w:szCs w:val="20"/>
        </w:rPr>
        <w:t>To</w:t>
      </w:r>
      <w:r w:rsidRPr="00437DCF">
        <w:rPr>
          <w:rFonts w:cstheme="minorHAnsi"/>
          <w:sz w:val="20"/>
          <w:szCs w:val="20"/>
        </w:rPr>
        <w:t xml:space="preserve"> gain state licensure to practice pharmacy, graduates of the PharmD program must pass the</w:t>
      </w:r>
      <w:r w:rsidR="00CA6FC7">
        <w:rPr>
          <w:rFonts w:cstheme="minorHAnsi"/>
          <w:sz w:val="20"/>
          <w:szCs w:val="20"/>
        </w:rPr>
        <w:t xml:space="preserve"> </w:t>
      </w:r>
      <w:r w:rsidRPr="00CA6FC7" w:rsidR="00CA6FC7">
        <w:rPr>
          <w:rFonts w:cstheme="minorHAnsi"/>
          <w:sz w:val="20"/>
          <w:szCs w:val="20"/>
        </w:rPr>
        <w:t xml:space="preserve">Multistate Pharmacy Jurisprudence Examination® (MPJE®) </w:t>
      </w:r>
      <w:r w:rsidRPr="00437DCF">
        <w:rPr>
          <w:rFonts w:cstheme="minorHAnsi"/>
          <w:sz w:val="20"/>
          <w:szCs w:val="20"/>
        </w:rPr>
        <w:t xml:space="preserve"> offered by the National Association of Boards of Pharmacy (NABP).  The Accreditation Council for Pharmacy Education (ACPE) compiles statistics on the performance of all </w:t>
      </w:r>
      <w:r w:rsidR="00504E27">
        <w:rPr>
          <w:rFonts w:cstheme="minorHAnsi"/>
          <w:sz w:val="20"/>
          <w:szCs w:val="20"/>
        </w:rPr>
        <w:t>exam candidates</w:t>
      </w:r>
      <w:r w:rsidRPr="00437DCF">
        <w:rPr>
          <w:rFonts w:cstheme="minorHAnsi"/>
          <w:sz w:val="20"/>
          <w:szCs w:val="20"/>
        </w:rPr>
        <w:t xml:space="preserve">.  The table below shows the </w:t>
      </w:r>
      <w:r w:rsidRPr="00CA6FC7" w:rsidR="00180B60">
        <w:rPr>
          <w:rFonts w:cstheme="minorHAnsi"/>
          <w:sz w:val="20"/>
          <w:szCs w:val="20"/>
        </w:rPr>
        <w:t>results for</w:t>
      </w:r>
      <w:r w:rsidR="00180B60">
        <w:rPr>
          <w:rFonts w:cstheme="minorHAnsi"/>
          <w:sz w:val="20"/>
          <w:szCs w:val="20"/>
        </w:rPr>
        <w:t xml:space="preserve"> </w:t>
      </w:r>
      <w:r w:rsidR="009A1F66">
        <w:rPr>
          <w:rFonts w:cstheme="minorHAnsi"/>
          <w:sz w:val="20"/>
          <w:szCs w:val="20"/>
        </w:rPr>
        <w:t>students</w:t>
      </w:r>
      <w:r w:rsidRPr="00CA6FC7" w:rsidR="00180B60">
        <w:rPr>
          <w:rFonts w:cstheme="minorHAnsi"/>
          <w:sz w:val="20"/>
          <w:szCs w:val="20"/>
        </w:rPr>
        <w:t xml:space="preserve"> who graduated and subsequently tested between the 2020 </w:t>
      </w:r>
      <w:r w:rsidR="009A1F66">
        <w:rPr>
          <w:rFonts w:cstheme="minorHAnsi"/>
          <w:sz w:val="20"/>
          <w:szCs w:val="20"/>
        </w:rPr>
        <w:t>and</w:t>
      </w:r>
      <w:r w:rsidRPr="00CA6FC7" w:rsidR="00180B60">
        <w:rPr>
          <w:rFonts w:cstheme="minorHAnsi"/>
          <w:sz w:val="20"/>
          <w:szCs w:val="20"/>
        </w:rPr>
        <w:t xml:space="preserve"> 2024 calendar years</w:t>
      </w:r>
      <w:r w:rsidR="009A1F66">
        <w:rPr>
          <w:rFonts w:cstheme="minorHAnsi"/>
          <w:sz w:val="20"/>
          <w:szCs w:val="20"/>
        </w:rPr>
        <w:t xml:space="preserve"> </w:t>
      </w:r>
      <w:r w:rsidRPr="00CA6FC7" w:rsidR="00180B60">
        <w:rPr>
          <w:rFonts w:cstheme="minorHAnsi"/>
          <w:sz w:val="20"/>
          <w:szCs w:val="20"/>
        </w:rPr>
        <w:t xml:space="preserve">as compared to graduates from </w:t>
      </w:r>
      <w:r w:rsidR="009A1F66">
        <w:rPr>
          <w:rFonts w:cstheme="minorHAnsi"/>
          <w:sz w:val="20"/>
          <w:szCs w:val="20"/>
        </w:rPr>
        <w:t>Georgia</w:t>
      </w:r>
      <w:r w:rsidRPr="00CA6FC7" w:rsidR="00180B60">
        <w:rPr>
          <w:rFonts w:cstheme="minorHAnsi"/>
          <w:sz w:val="20"/>
          <w:szCs w:val="20"/>
        </w:rPr>
        <w:t xml:space="preserve"> and all </w:t>
      </w:r>
      <w:r w:rsidR="009A1F66">
        <w:rPr>
          <w:rFonts w:cstheme="minorHAnsi"/>
          <w:sz w:val="20"/>
          <w:szCs w:val="20"/>
        </w:rPr>
        <w:t>ACPE-accredited</w:t>
      </w:r>
      <w:r w:rsidRPr="00CA6FC7" w:rsidR="00180B60">
        <w:rPr>
          <w:rFonts w:cstheme="minorHAnsi"/>
          <w:sz w:val="20"/>
          <w:szCs w:val="20"/>
        </w:rPr>
        <w:t xml:space="preserve"> institutions.</w:t>
      </w:r>
      <w:r w:rsidR="009A1F66">
        <w:rPr>
          <w:rFonts w:cstheme="minorHAnsi"/>
          <w:sz w:val="20"/>
          <w:szCs w:val="20"/>
        </w:rPr>
        <w:t xml:space="preserve"> </w:t>
      </w:r>
      <w:r w:rsidR="005F79A1">
        <w:rPr>
          <w:rFonts w:cstheme="minorHAnsi"/>
          <w:sz w:val="20"/>
          <w:szCs w:val="20"/>
        </w:rPr>
        <w:t xml:space="preserve">Students who take the MPJE take different forms of the exam based on the states and jurisdictions where they wish to gain licensure. </w:t>
      </w:r>
      <w:r w:rsidR="00504E27">
        <w:rPr>
          <w:rFonts w:cstheme="minorHAnsi"/>
          <w:sz w:val="20"/>
          <w:szCs w:val="20"/>
        </w:rPr>
        <w:t>The table below shares these comparisons of how our students perform</w:t>
      </w:r>
      <w:r w:rsidR="00BF2163">
        <w:rPr>
          <w:rFonts w:cstheme="minorHAnsi"/>
          <w:sz w:val="20"/>
          <w:szCs w:val="20"/>
        </w:rPr>
        <w:t xml:space="preserve">. </w:t>
      </w:r>
      <w:r w:rsidR="008A6564">
        <w:rPr>
          <w:rFonts w:cstheme="minorHAnsi"/>
          <w:sz w:val="20"/>
          <w:szCs w:val="20"/>
        </w:rPr>
        <w:t xml:space="preserve">For example below, “Your School” refers to UGA College of Pharmacy and how our students overall performed on the MPJE regardless of the jurisdiction. The In-state refers to how our students performed on the MPJE for the State of Georgia only. </w:t>
      </w:r>
      <w:r w:rsidR="00AC6A04">
        <w:rPr>
          <w:rFonts w:cstheme="minorHAnsi"/>
          <w:sz w:val="20"/>
          <w:szCs w:val="20"/>
        </w:rPr>
        <w:t>The Out-of-State rate refers to only those exams taken outside the State of Georgia.</w:t>
      </w:r>
    </w:p>
    <w:p w:rsidRPr="00470E7E" w:rsidR="00DD5B98" w:rsidRDefault="00FF7F5C" w14:paraId="08B13F7B" w14:textId="01B1A7D2">
      <w:pPr>
        <w:rPr>
          <w:rFonts w:cstheme="minorHAnsi"/>
        </w:rPr>
      </w:pPr>
      <w:r w:rsidRPr="00FF7F5C">
        <w:rPr>
          <w:rFonts w:cstheme="minorHAnsi"/>
        </w:rPr>
        <w:drawing>
          <wp:inline distT="0" distB="0" distL="0" distR="0" wp14:anchorId="177FE3A8" wp14:editId="524E1CF6">
            <wp:extent cx="5839640" cy="4334480"/>
            <wp:effectExtent l="0" t="0" r="8890" b="9525"/>
            <wp:docPr id="2032724640" name="Picture 1" descr="A screenshot of a college admission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24640" name="Picture 1" descr="A screenshot of a college admission form&#10;&#10;AI-generated content may be incorrect."/>
                    <pic:cNvPicPr/>
                  </pic:nvPicPr>
                  <pic:blipFill>
                    <a:blip r:embed="rId13"/>
                    <a:stretch>
                      <a:fillRect/>
                    </a:stretch>
                  </pic:blipFill>
                  <pic:spPr>
                    <a:xfrm>
                      <a:off x="0" y="0"/>
                      <a:ext cx="5839640" cy="4334480"/>
                    </a:xfrm>
                    <a:prstGeom prst="rect">
                      <a:avLst/>
                    </a:prstGeom>
                  </pic:spPr>
                </pic:pic>
              </a:graphicData>
            </a:graphic>
          </wp:inline>
        </w:drawing>
      </w:r>
    </w:p>
    <w:p w:rsidRPr="00437DCF" w:rsidR="00CD5F0E" w:rsidP="04E6A958" w:rsidRDefault="006F79F5" w14:paraId="76262968" w14:textId="563B5EB8">
      <w:pPr>
        <w:spacing w:after="0" w:afterAutospacing="off"/>
        <w:rPr>
          <w:rFonts w:cs="Calibri" w:cstheme="minorAscii"/>
          <w:sz w:val="16"/>
          <w:szCs w:val="16"/>
          <w:u w:val="single"/>
        </w:rPr>
      </w:pPr>
      <w:r w:rsidRPr="04E6A958">
        <w:rPr>
          <w:rFonts w:cs="Calibri" w:cstheme="minorAscii"/>
          <w:sz w:val="32"/>
          <w:szCs w:val="32"/>
          <w:u w:val="single"/>
        </w:rPr>
        <w:br w:type="page"/>
      </w:r>
      <w:r w:rsidRPr="04E6A958" w:rsidR="00CD5F0E">
        <w:rPr>
          <w:rFonts w:cs="Calibri" w:cstheme="minorAscii"/>
          <w:sz w:val="16"/>
          <w:szCs w:val="16"/>
          <w:u w:val="single"/>
        </w:rPr>
        <w:t>Assessment of Student Learning</w:t>
      </w:r>
    </w:p>
    <w:p w:rsidR="0058736B" w:rsidP="04E6A958" w:rsidRDefault="00EE128E" w14:paraId="47729B1A" w14:textId="0E0116A5">
      <w:pPr>
        <w:rPr>
          <w:rFonts w:cs="Calibri" w:cstheme="minorAscii"/>
          <w:sz w:val="16"/>
          <w:szCs w:val="16"/>
        </w:rPr>
      </w:pPr>
      <w:r w:rsidRPr="04E6A958" w:rsidR="00CD5F0E">
        <w:rPr>
          <w:rFonts w:cs="Calibri" w:cstheme="minorAscii"/>
          <w:sz w:val="16"/>
          <w:szCs w:val="16"/>
        </w:rPr>
        <w:t xml:space="preserve">The College of Pharmacy </w:t>
      </w:r>
      <w:r w:rsidRPr="04E6A958" w:rsidR="005A7F3F">
        <w:rPr>
          <w:rFonts w:cs="Calibri" w:cstheme="minorAscii"/>
          <w:sz w:val="16"/>
          <w:szCs w:val="16"/>
        </w:rPr>
        <w:t>uses quantitative and qualitative approaches to</w:t>
      </w:r>
      <w:r w:rsidRPr="04E6A958" w:rsidR="00CD5F0E">
        <w:rPr>
          <w:rFonts w:cs="Calibri" w:cstheme="minorAscii"/>
          <w:sz w:val="16"/>
          <w:szCs w:val="16"/>
        </w:rPr>
        <w:t xml:space="preserve"> assess student learning in the PharmD program</w:t>
      </w:r>
      <w:r w:rsidRPr="04E6A958" w:rsidR="00CD5F0E">
        <w:rPr>
          <w:rFonts w:cs="Calibri" w:cstheme="minorAscii"/>
          <w:sz w:val="16"/>
          <w:szCs w:val="16"/>
        </w:rPr>
        <w:t xml:space="preserve">.  </w:t>
      </w:r>
      <w:r w:rsidRPr="04E6A958" w:rsidR="00CD5F0E">
        <w:rPr>
          <w:rFonts w:cs="Calibri" w:cstheme="minorAscii"/>
          <w:sz w:val="16"/>
          <w:szCs w:val="16"/>
        </w:rPr>
        <w:t>The f</w:t>
      </w:r>
      <w:r w:rsidRPr="04E6A958" w:rsidR="00E66056">
        <w:rPr>
          <w:rFonts w:cs="Calibri" w:cstheme="minorAscii"/>
          <w:sz w:val="16"/>
          <w:szCs w:val="16"/>
        </w:rPr>
        <w:t xml:space="preserve">ollowing are highlights of </w:t>
      </w:r>
      <w:r w:rsidRPr="04E6A958" w:rsidR="00CD5F0E">
        <w:rPr>
          <w:rFonts w:cs="Calibri" w:cstheme="minorAscii"/>
          <w:sz w:val="16"/>
          <w:szCs w:val="16"/>
        </w:rPr>
        <w:t>data related to our graduating students</w:t>
      </w:r>
      <w:r w:rsidRPr="04E6A958" w:rsidR="00E66056">
        <w:rPr>
          <w:rFonts w:cs="Calibri" w:cstheme="minorAscii"/>
          <w:sz w:val="16"/>
          <w:szCs w:val="16"/>
        </w:rPr>
        <w:t xml:space="preserve"> as shared on the American Association of Colleges of Pharmacy Graduating Stud</w:t>
      </w:r>
      <w:r w:rsidRPr="04E6A958" w:rsidR="00AA2C2B">
        <w:rPr>
          <w:rFonts w:cs="Calibri" w:cstheme="minorAscii"/>
          <w:sz w:val="16"/>
          <w:szCs w:val="16"/>
        </w:rPr>
        <w:t xml:space="preserve">ent Survey </w:t>
      </w:r>
      <w:r w:rsidRPr="04E6A958" w:rsidR="0058736B">
        <w:rPr>
          <w:rFonts w:cs="Calibri" w:cstheme="minorAscii"/>
          <w:sz w:val="16"/>
          <w:szCs w:val="16"/>
        </w:rPr>
        <w:t>for the Class of 202</w:t>
      </w:r>
      <w:r w:rsidRPr="04E6A958" w:rsidR="008512EE">
        <w:rPr>
          <w:rFonts w:cs="Calibri" w:cstheme="minorAscii"/>
          <w:sz w:val="16"/>
          <w:szCs w:val="16"/>
        </w:rPr>
        <w:t>3</w:t>
      </w:r>
      <w:r w:rsidRPr="04E6A958" w:rsidR="00864CD1">
        <w:rPr>
          <w:rFonts w:cs="Calibri" w:cstheme="minorAscii"/>
          <w:sz w:val="16"/>
          <w:szCs w:val="16"/>
        </w:rPr>
        <w:t>. This</w:t>
      </w:r>
      <w:r w:rsidRPr="04E6A958" w:rsidR="66EBEEB2">
        <w:rPr>
          <w:rFonts w:cs="Calibri" w:cstheme="minorAscii"/>
          <w:sz w:val="16"/>
          <w:szCs w:val="16"/>
        </w:rPr>
        <w:t xml:space="preserve"> </w:t>
      </w:r>
      <w:r w:rsidRPr="04E6A958" w:rsidR="00864CD1">
        <w:rPr>
          <w:rFonts w:cs="Calibri" w:cstheme="minorAscii"/>
          <w:sz w:val="16"/>
          <w:szCs w:val="16"/>
        </w:rPr>
        <w:t>includes benchmark comparisons to our Peer group in the Southeastern Conference and the State of Georgia</w:t>
      </w:r>
      <w:r w:rsidRPr="04E6A958" w:rsidR="199E018B">
        <w:rPr>
          <w:rFonts w:cs="Calibri" w:cstheme="minorAscii"/>
          <w:sz w:val="16"/>
          <w:szCs w:val="16"/>
        </w:rPr>
        <w:t>.</w:t>
      </w:r>
    </w:p>
    <w:p w:rsidR="0058736B" w:rsidP="04E6A958" w:rsidRDefault="00EE128E" w14:paraId="603FC47D" w14:textId="7528E038">
      <w:pPr>
        <w:rPr>
          <w:rFonts w:cs="Calibri" w:cstheme="minorAscii"/>
          <w:sz w:val="20"/>
          <w:szCs w:val="20"/>
        </w:rPr>
      </w:pPr>
    </w:p>
    <w:p w:rsidR="0058736B" w:rsidP="04E6A958" w:rsidRDefault="00EE128E" w14:paraId="55AF3AF5" w14:textId="1B236D3B">
      <w:pPr>
        <w:jc w:val="center"/>
      </w:pPr>
      <w:r w:rsidR="53EC8341">
        <w:drawing>
          <wp:inline wp14:editId="6457B01D" wp14:anchorId="0E53E870">
            <wp:extent cx="5944496" cy="4772139"/>
            <wp:effectExtent l="0" t="0" r="0" b="0"/>
            <wp:docPr id="19328510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2851086" name=""/>
                    <pic:cNvPicPr/>
                  </pic:nvPicPr>
                  <pic:blipFill>
                    <a:blip xmlns:r="http://schemas.openxmlformats.org/officeDocument/2006/relationships" r:embed="rId216102195">
                      <a:extLst>
                        <a:ext uri="{28A0092B-C50C-407E-A947-70E740481C1C}">
                          <a14:useLocalDpi xmlns:a14="http://schemas.microsoft.com/office/drawing/2010/main"/>
                        </a:ext>
                      </a:extLst>
                    </a:blip>
                    <a:stretch>
                      <a:fillRect/>
                    </a:stretch>
                  </pic:blipFill>
                  <pic:spPr>
                    <a:xfrm rot="0">
                      <a:off x="0" y="0"/>
                      <a:ext cx="5944496" cy="4772139"/>
                    </a:xfrm>
                    <a:prstGeom prst="rect">
                      <a:avLst/>
                    </a:prstGeom>
                  </pic:spPr>
                </pic:pic>
              </a:graphicData>
            </a:graphic>
          </wp:inline>
        </w:drawing>
      </w:r>
    </w:p>
    <w:p w:rsidR="0058736B" w:rsidP="04E6A958" w:rsidRDefault="00EE128E" w14:paraId="0D433D1A" w14:textId="4E5F1002">
      <w:pPr>
        <w:jc w:val="center"/>
      </w:pPr>
      <w:r w:rsidR="54631CB4">
        <w:drawing>
          <wp:inline wp14:editId="1DF82445" wp14:anchorId="7BCE97FF">
            <wp:extent cx="8229600" cy="6819900"/>
            <wp:effectExtent l="0" t="0" r="0" b="0"/>
            <wp:docPr id="17613755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1375550" name=""/>
                    <pic:cNvPicPr/>
                  </pic:nvPicPr>
                  <pic:blipFill>
                    <a:blip xmlns:r="http://schemas.openxmlformats.org/officeDocument/2006/relationships" r:embed="rId1187984263">
                      <a:extLst>
                        <a:ext xmlns:a="http://schemas.openxmlformats.org/drawingml/2006/main" uri="{28A0092B-C50C-407E-A947-70E740481C1C}">
                          <a14:useLocalDpi xmlns:a14="http://schemas.microsoft.com/office/drawing/2010/main" val="0"/>
                        </a:ext>
                      </a:extLst>
                    </a:blip>
                    <a:stretch>
                      <a:fillRect/>
                    </a:stretch>
                  </pic:blipFill>
                  <pic:spPr>
                    <a:xfrm>
                      <a:off x="0" y="0"/>
                      <a:ext cx="8229600" cy="6819900"/>
                    </a:xfrm>
                    <a:prstGeom prst="rect">
                      <a:avLst/>
                    </a:prstGeom>
                  </pic:spPr>
                </pic:pic>
              </a:graphicData>
            </a:graphic>
          </wp:inline>
        </w:drawing>
      </w:r>
      <w:r w:rsidR="54631CB4">
        <w:drawing>
          <wp:inline wp14:editId="2A071424" wp14:anchorId="679BB276">
            <wp:extent cx="8002117" cy="6792273"/>
            <wp:effectExtent l="0" t="0" r="0" b="0"/>
            <wp:docPr id="6360087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600873" name=""/>
                    <pic:cNvPicPr/>
                  </pic:nvPicPr>
                  <pic:blipFill>
                    <a:blip xmlns:r="http://schemas.openxmlformats.org/officeDocument/2006/relationships" r:embed="rId968549804">
                      <a:extLst>
                        <a:ext xmlns:a="http://schemas.openxmlformats.org/drawingml/2006/main" uri="{28A0092B-C50C-407E-A947-70E740481C1C}">
                          <a14:useLocalDpi xmlns:a14="http://schemas.microsoft.com/office/drawing/2010/main" val="0"/>
                        </a:ext>
                      </a:extLst>
                    </a:blip>
                    <a:stretch>
                      <a:fillRect/>
                    </a:stretch>
                  </pic:blipFill>
                  <pic:spPr>
                    <a:xfrm>
                      <a:off x="0" y="0"/>
                      <a:ext cx="8002117" cy="6792273"/>
                    </a:xfrm>
                    <a:prstGeom prst="rect">
                      <a:avLst/>
                    </a:prstGeom>
                  </pic:spPr>
                </pic:pic>
              </a:graphicData>
            </a:graphic>
          </wp:inline>
        </w:drawing>
      </w:r>
    </w:p>
    <w:p w:rsidR="00EE128E" w:rsidP="006F79F5" w:rsidRDefault="00E30B89" w14:paraId="7D437D7D" w14:textId="26E3BB46">
      <w:pPr/>
      <w:r w:rsidR="2B7FF6CC">
        <w:drawing>
          <wp:inline wp14:editId="0F07A241" wp14:anchorId="711F86C5">
            <wp:extent cx="8002117" cy="6944694"/>
            <wp:effectExtent l="0" t="0" r="0" b="0"/>
            <wp:docPr id="18230254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3025479" name=""/>
                    <pic:cNvPicPr/>
                  </pic:nvPicPr>
                  <pic:blipFill>
                    <a:blip xmlns:r="http://schemas.openxmlformats.org/officeDocument/2006/relationships" r:embed="rId695508072">
                      <a:extLst>
                        <a:ext xmlns:a="http://schemas.openxmlformats.org/drawingml/2006/main" uri="{28A0092B-C50C-407E-A947-70E740481C1C}">
                          <a14:useLocalDpi xmlns:a14="http://schemas.microsoft.com/office/drawing/2010/main" val="0"/>
                        </a:ext>
                      </a:extLst>
                    </a:blip>
                    <a:stretch>
                      <a:fillRect/>
                    </a:stretch>
                  </pic:blipFill>
                  <pic:spPr>
                    <a:xfrm>
                      <a:off x="0" y="0"/>
                      <a:ext cx="8002117" cy="6944694"/>
                    </a:xfrm>
                    <a:prstGeom prst="rect">
                      <a:avLst/>
                    </a:prstGeom>
                  </pic:spPr>
                </pic:pic>
              </a:graphicData>
            </a:graphic>
          </wp:inline>
        </w:drawing>
      </w:r>
    </w:p>
    <w:p w:rsidR="00E30B89" w:rsidP="006F79F5" w:rsidRDefault="00727104" w14:paraId="2C5820C0" w14:textId="04B56E42">
      <w:pPr/>
    </w:p>
    <w:p w:rsidR="00727104" w:rsidP="006F79F5" w:rsidRDefault="00727104" w14:paraId="5630E286" w14:textId="77777777">
      <w:pPr>
        <w:rPr>
          <w:rFonts w:cstheme="minorHAnsi"/>
          <w:sz w:val="20"/>
          <w:szCs w:val="20"/>
        </w:rPr>
      </w:pPr>
    </w:p>
    <w:p w:rsidR="00727104" w:rsidP="006F79F5" w:rsidRDefault="00001548" w14:paraId="3E5E1D2F" w14:textId="6BB47C72">
      <w:pPr/>
    </w:p>
    <w:p w:rsidR="00DC775B" w:rsidP="006F79F5" w:rsidRDefault="00302274" w14:paraId="5BC66533" w14:textId="3F6EB09A">
      <w:pPr/>
    </w:p>
    <w:p w:rsidR="00302274" w:rsidP="006F79F5" w:rsidRDefault="002E38FE" w14:paraId="74576289" w14:textId="4CF7205F">
      <w:pPr/>
    </w:p>
    <w:p w:rsidR="002E38FE" w:rsidP="006F79F5" w:rsidRDefault="00106CA3" w14:paraId="666D1C89" w14:textId="7711AE50">
      <w:pPr/>
    </w:p>
    <w:p w:rsidR="00280C28" w:rsidP="006F79F5" w:rsidRDefault="00D1590D" w14:paraId="536705D8" w14:textId="038386A8">
      <w:pPr/>
    </w:p>
    <w:p w:rsidR="00D1590D" w:rsidP="006F79F5" w:rsidRDefault="00AC5B17" w14:paraId="48A77F6D" w14:textId="77F34DF2">
      <w:pPr/>
    </w:p>
    <w:p w:rsidR="00AC5B17" w:rsidP="006F79F5" w:rsidRDefault="00AC5B17" w14:paraId="00835E64" w14:textId="49ED2418">
      <w:pPr/>
    </w:p>
    <w:p w:rsidR="00AC5B17" w:rsidP="006F79F5" w:rsidRDefault="00910913" w14:paraId="168B2854" w14:textId="0396FA60">
      <w:pPr/>
    </w:p>
    <w:p w:rsidRPr="00437DCF" w:rsidR="00910913" w:rsidP="006F79F5" w:rsidRDefault="00822EB9" w14:paraId="251B8BE9" w14:textId="7384F026">
      <w:pPr/>
    </w:p>
    <w:p w:rsidRPr="00CD5F0E" w:rsidR="00E66056" w:rsidP="04E6A958" w:rsidRDefault="00E66056" w14:paraId="0398CFC7" w14:textId="267C9CD6">
      <w:pPr>
        <w:pStyle w:val="Normal"/>
      </w:pPr>
    </w:p>
    <w:sectPr w:rsidRPr="00CD5F0E" w:rsidR="00E66056" w:rsidSect="00C47F4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A1MDWzNDYyN7OwMDRW0lEKTi0uzszPAykwrQUAKJhi3SwAAAA="/>
  </w:docVars>
  <w:rsids>
    <w:rsidRoot w:val="00306311"/>
    <w:rsid w:val="00001548"/>
    <w:rsid w:val="000161D5"/>
    <w:rsid w:val="00024B55"/>
    <w:rsid w:val="000307A0"/>
    <w:rsid w:val="00083AE7"/>
    <w:rsid w:val="000A54C1"/>
    <w:rsid w:val="00100FD0"/>
    <w:rsid w:val="00106CA3"/>
    <w:rsid w:val="00133C90"/>
    <w:rsid w:val="00180B60"/>
    <w:rsid w:val="001C490E"/>
    <w:rsid w:val="001D5A65"/>
    <w:rsid w:val="001E362E"/>
    <w:rsid w:val="001E39C1"/>
    <w:rsid w:val="001E436B"/>
    <w:rsid w:val="00236573"/>
    <w:rsid w:val="0024254B"/>
    <w:rsid w:val="00273AF2"/>
    <w:rsid w:val="00277795"/>
    <w:rsid w:val="00280C28"/>
    <w:rsid w:val="002957A5"/>
    <w:rsid w:val="002B6DF2"/>
    <w:rsid w:val="002D4806"/>
    <w:rsid w:val="002D6B19"/>
    <w:rsid w:val="002E38FE"/>
    <w:rsid w:val="002F29EE"/>
    <w:rsid w:val="00302274"/>
    <w:rsid w:val="00306311"/>
    <w:rsid w:val="00322289"/>
    <w:rsid w:val="003273B6"/>
    <w:rsid w:val="003302FC"/>
    <w:rsid w:val="00337080"/>
    <w:rsid w:val="003673DB"/>
    <w:rsid w:val="00372A0C"/>
    <w:rsid w:val="003A0A3E"/>
    <w:rsid w:val="003B1086"/>
    <w:rsid w:val="00431F42"/>
    <w:rsid w:val="00436D7B"/>
    <w:rsid w:val="00437DCF"/>
    <w:rsid w:val="0044130E"/>
    <w:rsid w:val="00470E7E"/>
    <w:rsid w:val="00487A8D"/>
    <w:rsid w:val="004A72E1"/>
    <w:rsid w:val="004B3A19"/>
    <w:rsid w:val="004B67D3"/>
    <w:rsid w:val="004E3BC0"/>
    <w:rsid w:val="004F7637"/>
    <w:rsid w:val="00504E27"/>
    <w:rsid w:val="00513065"/>
    <w:rsid w:val="00530272"/>
    <w:rsid w:val="00545BED"/>
    <w:rsid w:val="005471AC"/>
    <w:rsid w:val="00557053"/>
    <w:rsid w:val="0056051D"/>
    <w:rsid w:val="0058736B"/>
    <w:rsid w:val="005A7F3F"/>
    <w:rsid w:val="005F79A1"/>
    <w:rsid w:val="00604FB2"/>
    <w:rsid w:val="006360F5"/>
    <w:rsid w:val="00673F2B"/>
    <w:rsid w:val="00675758"/>
    <w:rsid w:val="00685938"/>
    <w:rsid w:val="0069787A"/>
    <w:rsid w:val="006A6446"/>
    <w:rsid w:val="006A71C8"/>
    <w:rsid w:val="006E7754"/>
    <w:rsid w:val="006F79F5"/>
    <w:rsid w:val="007264C3"/>
    <w:rsid w:val="00727104"/>
    <w:rsid w:val="00756BCF"/>
    <w:rsid w:val="007806A2"/>
    <w:rsid w:val="00783CB8"/>
    <w:rsid w:val="00783F9A"/>
    <w:rsid w:val="007A4A89"/>
    <w:rsid w:val="007C0EA9"/>
    <w:rsid w:val="007D3A24"/>
    <w:rsid w:val="007E371B"/>
    <w:rsid w:val="007E437A"/>
    <w:rsid w:val="007F5817"/>
    <w:rsid w:val="0080279F"/>
    <w:rsid w:val="0081700D"/>
    <w:rsid w:val="00822EB9"/>
    <w:rsid w:val="0084094B"/>
    <w:rsid w:val="008512EE"/>
    <w:rsid w:val="00864CD1"/>
    <w:rsid w:val="008708E5"/>
    <w:rsid w:val="008A5543"/>
    <w:rsid w:val="008A6564"/>
    <w:rsid w:val="008B6526"/>
    <w:rsid w:val="008E3C61"/>
    <w:rsid w:val="00910913"/>
    <w:rsid w:val="009229CE"/>
    <w:rsid w:val="009272C1"/>
    <w:rsid w:val="009A1F66"/>
    <w:rsid w:val="009C554C"/>
    <w:rsid w:val="009E5759"/>
    <w:rsid w:val="00A24D9C"/>
    <w:rsid w:val="00A34ECC"/>
    <w:rsid w:val="00A924B5"/>
    <w:rsid w:val="00AA1F8F"/>
    <w:rsid w:val="00AA2C2B"/>
    <w:rsid w:val="00AB49BF"/>
    <w:rsid w:val="00AC5B17"/>
    <w:rsid w:val="00AC6A04"/>
    <w:rsid w:val="00AD7AC7"/>
    <w:rsid w:val="00B23EE5"/>
    <w:rsid w:val="00B44542"/>
    <w:rsid w:val="00B45304"/>
    <w:rsid w:val="00B573D5"/>
    <w:rsid w:val="00BB413B"/>
    <w:rsid w:val="00BC4C9B"/>
    <w:rsid w:val="00BD75C0"/>
    <w:rsid w:val="00BF2163"/>
    <w:rsid w:val="00C1431A"/>
    <w:rsid w:val="00C44C25"/>
    <w:rsid w:val="00C47F40"/>
    <w:rsid w:val="00C7741F"/>
    <w:rsid w:val="00CA6FC7"/>
    <w:rsid w:val="00CB1B06"/>
    <w:rsid w:val="00CB42DC"/>
    <w:rsid w:val="00CD5F0E"/>
    <w:rsid w:val="00CE4A75"/>
    <w:rsid w:val="00D1590D"/>
    <w:rsid w:val="00D43309"/>
    <w:rsid w:val="00D858D4"/>
    <w:rsid w:val="00D91153"/>
    <w:rsid w:val="00DA3D6A"/>
    <w:rsid w:val="00DC6EC0"/>
    <w:rsid w:val="00DC775B"/>
    <w:rsid w:val="00DD0128"/>
    <w:rsid w:val="00DD248E"/>
    <w:rsid w:val="00DD5B98"/>
    <w:rsid w:val="00DE3C5F"/>
    <w:rsid w:val="00DF33D4"/>
    <w:rsid w:val="00E01E64"/>
    <w:rsid w:val="00E30B89"/>
    <w:rsid w:val="00E66056"/>
    <w:rsid w:val="00E749E2"/>
    <w:rsid w:val="00E90DED"/>
    <w:rsid w:val="00E92E38"/>
    <w:rsid w:val="00EB670B"/>
    <w:rsid w:val="00EE128E"/>
    <w:rsid w:val="00FB4092"/>
    <w:rsid w:val="00FD366E"/>
    <w:rsid w:val="00FD637B"/>
    <w:rsid w:val="00FE0FD1"/>
    <w:rsid w:val="00FF7F5C"/>
    <w:rsid w:val="04E6A958"/>
    <w:rsid w:val="0613C91B"/>
    <w:rsid w:val="0A591FE9"/>
    <w:rsid w:val="0B8B36A3"/>
    <w:rsid w:val="0EE8E733"/>
    <w:rsid w:val="0FFD1695"/>
    <w:rsid w:val="1510DCFE"/>
    <w:rsid w:val="16B31518"/>
    <w:rsid w:val="17334BC7"/>
    <w:rsid w:val="199E018B"/>
    <w:rsid w:val="1D790530"/>
    <w:rsid w:val="221F5461"/>
    <w:rsid w:val="2B7FF6CC"/>
    <w:rsid w:val="357C60F1"/>
    <w:rsid w:val="38B42455"/>
    <w:rsid w:val="493D2694"/>
    <w:rsid w:val="4AFE7F5B"/>
    <w:rsid w:val="53EC8341"/>
    <w:rsid w:val="5447C021"/>
    <w:rsid w:val="54631CB4"/>
    <w:rsid w:val="58954B4C"/>
    <w:rsid w:val="66EBEEB2"/>
    <w:rsid w:val="7195AEC2"/>
    <w:rsid w:val="7760F137"/>
    <w:rsid w:val="7934A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B5CAD"/>
  <w15:docId w15:val="{C62D1B9F-B540-4221-847B-27DA889D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0B60"/>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306311"/>
    <w:rPr>
      <w:color w:val="0000FF" w:themeColor="hyperlink"/>
      <w:u w:val="single"/>
    </w:rPr>
  </w:style>
  <w:style w:type="table" w:styleId="TableGrid">
    <w:name w:val="Table Grid"/>
    <w:basedOn w:val="TableNormal"/>
    <w:uiPriority w:val="59"/>
    <w:rsid w:val="00431F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A54C1"/>
    <w:pPr>
      <w:spacing w:before="100" w:beforeAutospacing="1" w:after="100" w:afterAutospacing="1" w:line="240" w:lineRule="auto"/>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FD366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FD366E"/>
    <w:rPr>
      <w:rFonts w:ascii="Tahoma" w:hAnsi="Tahoma" w:cs="Tahoma"/>
      <w:sz w:val="16"/>
      <w:szCs w:val="16"/>
    </w:rPr>
  </w:style>
  <w:style w:type="table" w:styleId="TableGridLight">
    <w:name w:val="Grid Table Light"/>
    <w:basedOn w:val="TableNormal"/>
    <w:uiPriority w:val="40"/>
    <w:rsid w:val="003A0A3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91168">
      <w:bodyDiv w:val="1"/>
      <w:marLeft w:val="0"/>
      <w:marRight w:val="0"/>
      <w:marTop w:val="0"/>
      <w:marBottom w:val="0"/>
      <w:divBdr>
        <w:top w:val="none" w:sz="0" w:space="0" w:color="auto"/>
        <w:left w:val="none" w:sz="0" w:space="0" w:color="auto"/>
        <w:bottom w:val="none" w:sz="0" w:space="0" w:color="auto"/>
        <w:right w:val="none" w:sz="0" w:space="0" w:color="auto"/>
      </w:divBdr>
    </w:div>
    <w:div w:id="559443370">
      <w:bodyDiv w:val="1"/>
      <w:marLeft w:val="0"/>
      <w:marRight w:val="0"/>
      <w:marTop w:val="0"/>
      <w:marBottom w:val="0"/>
      <w:divBdr>
        <w:top w:val="none" w:sz="0" w:space="0" w:color="auto"/>
        <w:left w:val="none" w:sz="0" w:space="0" w:color="auto"/>
        <w:bottom w:val="none" w:sz="0" w:space="0" w:color="auto"/>
        <w:right w:val="none" w:sz="0" w:space="0" w:color="auto"/>
      </w:divBdr>
    </w:div>
    <w:div w:id="1374886816">
      <w:bodyDiv w:val="1"/>
      <w:marLeft w:val="0"/>
      <w:marRight w:val="0"/>
      <w:marTop w:val="0"/>
      <w:marBottom w:val="0"/>
      <w:divBdr>
        <w:top w:val="none" w:sz="0" w:space="0" w:color="auto"/>
        <w:left w:val="none" w:sz="0" w:space="0" w:color="auto"/>
        <w:bottom w:val="none" w:sz="0" w:space="0" w:color="auto"/>
        <w:right w:val="none" w:sz="0" w:space="0" w:color="auto"/>
      </w:divBdr>
    </w:div>
    <w:div w:id="171068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theme" Target="theme/theme1.xml" Id="rId36" /><Relationship Type="http://schemas.openxmlformats.org/officeDocument/2006/relationships/hyperlink" Target="http://www.ashp.org" TargetMode="External" Id="rId10" /><Relationship Type="http://schemas.openxmlformats.org/officeDocument/2006/relationships/customXml" Target="../customXml/item4.xml" Id="rId4" /><Relationship Type="http://schemas.openxmlformats.org/officeDocument/2006/relationships/hyperlink" Target="http://www.acpe-accredit.org" TargetMode="External" Id="rId9" /><Relationship Type="http://schemas.openxmlformats.org/officeDocument/2006/relationships/fontTable" Target="fontTable.xml" Id="rId35" /><Relationship Type="http://schemas.openxmlformats.org/officeDocument/2006/relationships/hyperlink" Target="http://www.sacscoc.org" TargetMode="External" Id="rId8" /><Relationship Type="http://schemas.openxmlformats.org/officeDocument/2006/relationships/image" Target="/media/image18.png" Id="rId216102195" /><Relationship Type="http://schemas.openxmlformats.org/officeDocument/2006/relationships/image" Target="/media/image19.png" Id="rId1187984263" /><Relationship Type="http://schemas.openxmlformats.org/officeDocument/2006/relationships/image" Target="/media/image1a.png" Id="rId968549804" /><Relationship Type="http://schemas.openxmlformats.org/officeDocument/2006/relationships/image" Target="/media/image1b.png" Id="rId6955080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8c1519c-c39e-4809-b20c-789cf222eb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C6CE317957FD4DA3238D34E79402B8" ma:contentTypeVersion="20" ma:contentTypeDescription="Create a new document." ma:contentTypeScope="" ma:versionID="d9bec4de838ef237d5b0be7244c86979">
  <xsd:schema xmlns:xsd="http://www.w3.org/2001/XMLSchema" xmlns:xs="http://www.w3.org/2001/XMLSchema" xmlns:p="http://schemas.microsoft.com/office/2006/metadata/properties" xmlns:ns1="http://schemas.microsoft.com/sharepoint/v3" xmlns:ns3="68c1519c-c39e-4809-b20c-789cf222ebba" xmlns:ns4="6f40d79a-563a-41a4-a883-15a24e9dc174" targetNamespace="http://schemas.microsoft.com/office/2006/metadata/properties" ma:root="true" ma:fieldsID="f2faae7ce0dd875c5d1249c628a87057" ns1:_="" ns3:_="" ns4:_="">
    <xsd:import namespace="http://schemas.microsoft.com/sharepoint/v3"/>
    <xsd:import namespace="68c1519c-c39e-4809-b20c-789cf222ebba"/>
    <xsd:import namespace="6f40d79a-563a-41a4-a883-15a24e9dc1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1519c-c39e-4809-b20c-789cf222e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0d79a-563a-41a4-a883-15a24e9dc1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303C0-EDDD-4FC4-8DE0-8BAAA2157BD3}">
  <ds:schemaRefs>
    <ds:schemaRef ds:uri="http://schemas.openxmlformats.org/officeDocument/2006/bibliography"/>
  </ds:schemaRefs>
</ds:datastoreItem>
</file>

<file path=customXml/itemProps2.xml><?xml version="1.0" encoding="utf-8"?>
<ds:datastoreItem xmlns:ds="http://schemas.openxmlformats.org/officeDocument/2006/customXml" ds:itemID="{0DBA663F-0AD3-4DD0-A371-74E3E541B05A}">
  <ds:schemaRefs>
    <ds:schemaRef ds:uri="http://schemas.microsoft.com/office/2006/metadata/properties"/>
    <ds:schemaRef ds:uri="http://schemas.microsoft.com/office/infopath/2007/PartnerControls"/>
    <ds:schemaRef ds:uri="http://schemas.microsoft.com/sharepoint/v3"/>
    <ds:schemaRef ds:uri="68c1519c-c39e-4809-b20c-789cf222ebba"/>
  </ds:schemaRefs>
</ds:datastoreItem>
</file>

<file path=customXml/itemProps3.xml><?xml version="1.0" encoding="utf-8"?>
<ds:datastoreItem xmlns:ds="http://schemas.openxmlformats.org/officeDocument/2006/customXml" ds:itemID="{E348050A-A8F9-492F-9673-FCC7B4EEC5E8}">
  <ds:schemaRefs>
    <ds:schemaRef ds:uri="http://schemas.microsoft.com/sharepoint/v3/contenttype/forms"/>
  </ds:schemaRefs>
</ds:datastoreItem>
</file>

<file path=customXml/itemProps4.xml><?xml version="1.0" encoding="utf-8"?>
<ds:datastoreItem xmlns:ds="http://schemas.openxmlformats.org/officeDocument/2006/customXml" ds:itemID="{3ACE40AB-50E0-4D86-92EE-CCAA12D05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1519c-c39e-4809-b20c-789cf222ebba"/>
    <ds:schemaRef ds:uri="6f40d79a-563a-41a4-a883-15a24e9dc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Fulford</dc:creator>
  <keywords/>
  <dc:description/>
  <lastModifiedBy>Michael Fulford</lastModifiedBy>
  <revision>24</revision>
  <lastPrinted>2023-03-01T04:30:00.0000000Z</lastPrinted>
  <dcterms:created xsi:type="dcterms:W3CDTF">2025-02-19T16:01:00.0000000Z</dcterms:created>
  <dcterms:modified xsi:type="dcterms:W3CDTF">2025-06-30T15:01:00.5562780Z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0x01010034C6CE317957FD4DA3238D34E79402B8</vt:lpwstr>
  </property>
  <property fmtid="{D5CDD505-2E9C-101B-9397-08002B2CF9AE}" pid="3" name="_dlc_policyId">
    <vt:lpwstr>0x010100FB1D974355D06F438B8B1953881B8A21</vt:lpwstr>
  </property>
  <property fmtid="{D5CDD505-2E9C-101B-9397-08002B2CF9AE}" pid="4" name="ItemRetentionFormula">
    <vt:lpwstr>&lt;formula id="Microsoft.Office.RecordsManagement.PolicyFeatures.Expiration.Formula.BuiltIn"&gt;&lt;number&gt;7&lt;/number&gt;&lt;property&gt;Created&lt;/property&gt;&lt;propertyId&gt;8c06beca-0777-48f7-91c7-6da68bc07b69&lt;/propertyId&gt;&lt;period&gt;years&lt;/period&gt;&lt;/formula&gt;</vt:lpwstr>
  </property>
  <property fmtid="{D5CDD505-2E9C-101B-9397-08002B2CF9AE}" pid="5" name="MediaServiceImageTags">
    <vt:lpwstr/>
  </property>
  <property fmtid="{D5CDD505-2E9C-101B-9397-08002B2CF9AE}" pid="6" name="GrammarlyDocumentId">
    <vt:lpwstr>3ed110b39012436b720a28c91ed72a7bc817d727387065a42079cc8a75a602d4</vt:lpwstr>
  </property>
</Properties>
</file>